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1D" w:rsidRPr="00775EDD" w:rsidRDefault="001A361D" w:rsidP="00675613">
      <w:pPr>
        <w:jc w:val="center"/>
        <w:rPr>
          <w:i/>
          <w:szCs w:val="24"/>
        </w:rPr>
      </w:pPr>
      <w:bookmarkStart w:id="0" w:name="_GoBack"/>
      <w:bookmarkEnd w:id="0"/>
      <w:r w:rsidRPr="00775EDD">
        <w:rPr>
          <w:i/>
          <w:szCs w:val="24"/>
        </w:rPr>
        <w:tab/>
      </w:r>
      <w:r w:rsidRPr="00775EDD">
        <w:rPr>
          <w:i/>
          <w:szCs w:val="24"/>
        </w:rPr>
        <w:tab/>
      </w:r>
      <w:r w:rsidRPr="00775EDD">
        <w:rPr>
          <w:i/>
          <w:szCs w:val="24"/>
        </w:rPr>
        <w:tab/>
      </w:r>
      <w:r w:rsidRPr="00775EDD">
        <w:rPr>
          <w:i/>
          <w:szCs w:val="24"/>
        </w:rPr>
        <w:tab/>
      </w:r>
      <w:r w:rsidRPr="00775EDD">
        <w:rPr>
          <w:i/>
          <w:szCs w:val="24"/>
        </w:rPr>
        <w:tab/>
        <w:t>2. melléklet a 123-</w:t>
      </w:r>
      <w:r w:rsidR="00577114">
        <w:rPr>
          <w:i/>
          <w:szCs w:val="24"/>
        </w:rPr>
        <w:t>551</w:t>
      </w:r>
      <w:r w:rsidRPr="00775EDD">
        <w:rPr>
          <w:i/>
          <w:szCs w:val="24"/>
        </w:rPr>
        <w:t>/2025. (VII. 14.) előterjesztéshez</w:t>
      </w:r>
    </w:p>
    <w:p w:rsidR="001A361D" w:rsidRPr="00775EDD" w:rsidRDefault="001A361D" w:rsidP="00675613">
      <w:pPr>
        <w:jc w:val="center"/>
        <w:rPr>
          <w:i/>
          <w:szCs w:val="24"/>
        </w:rPr>
      </w:pPr>
    </w:p>
    <w:p w:rsidR="00CD6DE8" w:rsidRDefault="00CD6DE8" w:rsidP="00675613">
      <w:pPr>
        <w:jc w:val="center"/>
        <w:rPr>
          <w:szCs w:val="24"/>
        </w:rPr>
      </w:pPr>
    </w:p>
    <w:p w:rsidR="00675613" w:rsidRPr="00775EDD" w:rsidRDefault="00675613" w:rsidP="00675613">
      <w:pPr>
        <w:jc w:val="center"/>
        <w:rPr>
          <w:color w:val="auto"/>
          <w:szCs w:val="24"/>
        </w:rPr>
      </w:pPr>
      <w:r w:rsidRPr="00775EDD">
        <w:rPr>
          <w:szCs w:val="24"/>
        </w:rPr>
        <w:t>ALAPÍTÓI HATÁROZAT</w:t>
      </w:r>
    </w:p>
    <w:p w:rsidR="00675613" w:rsidRPr="00775EDD" w:rsidRDefault="00675613" w:rsidP="00675613">
      <w:pPr>
        <w:jc w:val="center"/>
        <w:rPr>
          <w:szCs w:val="24"/>
        </w:rPr>
      </w:pPr>
    </w:p>
    <w:p w:rsidR="00675613" w:rsidRPr="000D11B3" w:rsidRDefault="00675613" w:rsidP="00675613">
      <w:pPr>
        <w:jc w:val="both"/>
        <w:rPr>
          <w:szCs w:val="24"/>
        </w:rPr>
      </w:pPr>
      <w:r w:rsidRPr="000D11B3">
        <w:rPr>
          <w:szCs w:val="24"/>
        </w:rPr>
        <w:t xml:space="preserve">Budapest Főváros XIV. Kerület Zugló Önkormányzata Képviselő-testülete a </w:t>
      </w:r>
      <w:r w:rsidRPr="000D11B3">
        <w:rPr>
          <w:bCs/>
          <w:szCs w:val="24"/>
        </w:rPr>
        <w:t>Zugló</w:t>
      </w:r>
      <w:r w:rsidR="003A59C9" w:rsidRPr="000D11B3">
        <w:rPr>
          <w:bCs/>
          <w:szCs w:val="24"/>
        </w:rPr>
        <w:t xml:space="preserve"> Információs</w:t>
      </w:r>
      <w:r w:rsidR="008F797A" w:rsidRPr="000D11B3">
        <w:rPr>
          <w:bCs/>
          <w:szCs w:val="24"/>
        </w:rPr>
        <w:t xml:space="preserve"> és Médiacsoport Kor</w:t>
      </w:r>
      <w:r w:rsidRPr="000D11B3">
        <w:rPr>
          <w:szCs w:val="24"/>
        </w:rPr>
        <w:t xml:space="preserve">látolt Felelősségű Társaság </w:t>
      </w:r>
      <w:r w:rsidR="00720AFF" w:rsidRPr="000D11B3">
        <w:rPr>
          <w:szCs w:val="24"/>
        </w:rPr>
        <w:t>a</w:t>
      </w:r>
      <w:r w:rsidRPr="000D11B3">
        <w:rPr>
          <w:szCs w:val="24"/>
        </w:rPr>
        <w:t xml:space="preserve">lapító </w:t>
      </w:r>
      <w:r w:rsidR="00720AFF" w:rsidRPr="000D11B3">
        <w:rPr>
          <w:szCs w:val="24"/>
        </w:rPr>
        <w:t>o</w:t>
      </w:r>
      <w:r w:rsidRPr="000D11B3">
        <w:rPr>
          <w:szCs w:val="24"/>
        </w:rPr>
        <w:t>kiratát a</w:t>
      </w:r>
      <w:r w:rsidR="008F797A" w:rsidRPr="000D11B3">
        <w:rPr>
          <w:szCs w:val="24"/>
        </w:rPr>
        <w:t xml:space="preserve"> ….</w:t>
      </w:r>
      <w:r w:rsidRPr="000D11B3">
        <w:rPr>
          <w:szCs w:val="24"/>
        </w:rPr>
        <w:t>/202</w:t>
      </w:r>
      <w:r w:rsidR="008F797A" w:rsidRPr="000D11B3">
        <w:rPr>
          <w:szCs w:val="24"/>
        </w:rPr>
        <w:t>5</w:t>
      </w:r>
      <w:r w:rsidRPr="000D11B3">
        <w:rPr>
          <w:szCs w:val="24"/>
        </w:rPr>
        <w:t>. (</w:t>
      </w:r>
      <w:r w:rsidR="008F797A" w:rsidRPr="000D11B3">
        <w:rPr>
          <w:szCs w:val="24"/>
        </w:rPr>
        <w:t>V</w:t>
      </w:r>
      <w:r w:rsidRPr="000D11B3">
        <w:rPr>
          <w:szCs w:val="24"/>
        </w:rPr>
        <w:t>II. 1</w:t>
      </w:r>
      <w:r w:rsidR="008F797A" w:rsidRPr="000D11B3">
        <w:rPr>
          <w:szCs w:val="24"/>
        </w:rPr>
        <w:t>4</w:t>
      </w:r>
      <w:r w:rsidRPr="000D11B3">
        <w:rPr>
          <w:szCs w:val="24"/>
        </w:rPr>
        <w:t>.) önkormányzati határozatával az alábbiak szerint módosította.</w:t>
      </w:r>
    </w:p>
    <w:p w:rsidR="00675613" w:rsidRPr="000D11B3" w:rsidRDefault="00675613" w:rsidP="00675613">
      <w:pPr>
        <w:jc w:val="both"/>
        <w:rPr>
          <w:szCs w:val="24"/>
        </w:rPr>
      </w:pPr>
    </w:p>
    <w:p w:rsidR="008F797A" w:rsidRPr="00775EDD" w:rsidRDefault="00720AFF" w:rsidP="008F797A">
      <w:pPr>
        <w:tabs>
          <w:tab w:val="right" w:pos="9072"/>
        </w:tabs>
        <w:autoSpaceDE w:val="0"/>
        <w:autoSpaceDN w:val="0"/>
        <w:adjustRightInd w:val="0"/>
        <w:spacing w:before="240" w:after="240"/>
        <w:jc w:val="both"/>
        <w:rPr>
          <w:szCs w:val="24"/>
        </w:rPr>
      </w:pPr>
      <w:r w:rsidRPr="000D11B3">
        <w:rPr>
          <w:b/>
          <w:szCs w:val="24"/>
        </w:rPr>
        <w:t>1</w:t>
      </w:r>
      <w:r w:rsidR="00675613" w:rsidRPr="000D11B3">
        <w:rPr>
          <w:b/>
          <w:szCs w:val="24"/>
        </w:rPr>
        <w:t>)</w:t>
      </w:r>
      <w:r w:rsidR="00675613" w:rsidRPr="000D11B3">
        <w:rPr>
          <w:szCs w:val="24"/>
        </w:rPr>
        <w:t xml:space="preserve"> Az </w:t>
      </w:r>
      <w:r w:rsidRPr="000D11B3">
        <w:rPr>
          <w:szCs w:val="24"/>
        </w:rPr>
        <w:t>a</w:t>
      </w:r>
      <w:r w:rsidR="00675613" w:rsidRPr="000D11B3">
        <w:rPr>
          <w:szCs w:val="24"/>
        </w:rPr>
        <w:t xml:space="preserve">lapító </w:t>
      </w:r>
      <w:r w:rsidRPr="000D11B3">
        <w:rPr>
          <w:szCs w:val="24"/>
        </w:rPr>
        <w:t>o</w:t>
      </w:r>
      <w:r w:rsidR="00675613" w:rsidRPr="000D11B3">
        <w:rPr>
          <w:szCs w:val="24"/>
        </w:rPr>
        <w:t xml:space="preserve">kirat </w:t>
      </w:r>
      <w:r w:rsidR="008F797A" w:rsidRPr="000D11B3">
        <w:rPr>
          <w:szCs w:val="24"/>
        </w:rPr>
        <w:t xml:space="preserve">2. pontja </w:t>
      </w:r>
      <w:r w:rsidR="001E3E22" w:rsidRPr="000D11B3">
        <w:rPr>
          <w:szCs w:val="24"/>
        </w:rPr>
        <w:t>(A társaság alapítója) helyébe az alábbi 2. pont lép:</w:t>
      </w:r>
    </w:p>
    <w:p w:rsidR="008F797A" w:rsidRPr="00775EDD" w:rsidRDefault="001E3E22" w:rsidP="008F797A">
      <w:pPr>
        <w:spacing w:line="360" w:lineRule="auto"/>
        <w:contextualSpacing/>
        <w:rPr>
          <w:bCs/>
          <w:szCs w:val="24"/>
        </w:rPr>
      </w:pPr>
      <w:r w:rsidRPr="00775EDD">
        <w:rPr>
          <w:bCs/>
          <w:szCs w:val="24"/>
        </w:rPr>
        <w:t>„</w:t>
      </w:r>
      <w:r w:rsidR="008F797A" w:rsidRPr="00775EDD">
        <w:rPr>
          <w:bCs/>
          <w:szCs w:val="24"/>
        </w:rPr>
        <w:t>A tag neve: Budapest Főváros XIV. Kerület Zugló Önkormányzata</w:t>
      </w:r>
    </w:p>
    <w:p w:rsidR="008F797A" w:rsidRPr="00775EDD" w:rsidRDefault="008F797A" w:rsidP="008F797A">
      <w:pPr>
        <w:spacing w:line="360" w:lineRule="auto"/>
        <w:contextualSpacing/>
        <w:rPr>
          <w:szCs w:val="24"/>
        </w:rPr>
      </w:pPr>
      <w:r w:rsidRPr="00775EDD">
        <w:rPr>
          <w:szCs w:val="24"/>
        </w:rPr>
        <w:t>Statisztikai jelzőszám: 15735777-8411-321-01</w:t>
      </w:r>
    </w:p>
    <w:p w:rsidR="008F797A" w:rsidRDefault="008F797A" w:rsidP="008F797A">
      <w:pPr>
        <w:spacing w:line="360" w:lineRule="auto"/>
        <w:contextualSpacing/>
        <w:rPr>
          <w:szCs w:val="24"/>
        </w:rPr>
      </w:pPr>
      <w:r w:rsidRPr="00775EDD">
        <w:rPr>
          <w:szCs w:val="24"/>
        </w:rPr>
        <w:t>Székhely: 1145 Budapest, Pétervárad utca 2.</w:t>
      </w:r>
      <w:r w:rsidR="001E3E22" w:rsidRPr="00775EDD">
        <w:rPr>
          <w:szCs w:val="24"/>
        </w:rPr>
        <w:t>”</w:t>
      </w:r>
    </w:p>
    <w:p w:rsidR="00690315" w:rsidRPr="00154A86" w:rsidRDefault="00690315" w:rsidP="00690315">
      <w:pPr>
        <w:tabs>
          <w:tab w:val="right" w:pos="9072"/>
        </w:tabs>
        <w:autoSpaceDE w:val="0"/>
        <w:autoSpaceDN w:val="0"/>
        <w:adjustRightInd w:val="0"/>
        <w:spacing w:before="240" w:after="240"/>
        <w:jc w:val="both"/>
        <w:rPr>
          <w:szCs w:val="24"/>
        </w:rPr>
      </w:pPr>
      <w:r w:rsidRPr="00154A86">
        <w:rPr>
          <w:b/>
          <w:szCs w:val="24"/>
        </w:rPr>
        <w:t>2)</w:t>
      </w:r>
      <w:r w:rsidRPr="00154A86">
        <w:rPr>
          <w:szCs w:val="24"/>
        </w:rPr>
        <w:t xml:space="preserve"> Az alapító okirat 3. pontj</w:t>
      </w:r>
      <w:r w:rsidR="00CE63D4" w:rsidRPr="00154A86">
        <w:rPr>
          <w:szCs w:val="24"/>
        </w:rPr>
        <w:t>a</w:t>
      </w:r>
      <w:r w:rsidRPr="00154A86">
        <w:rPr>
          <w:szCs w:val="24"/>
        </w:rPr>
        <w:t xml:space="preserve"> </w:t>
      </w:r>
      <w:r w:rsidR="00CE63D4" w:rsidRPr="00154A86">
        <w:rPr>
          <w:szCs w:val="24"/>
        </w:rPr>
        <w:t>„Egyéb tevékenységi körök” részének első 9 pontja helyébe az alábbi pontok lépnek</w:t>
      </w:r>
      <w:r w:rsidRPr="00154A86">
        <w:rPr>
          <w:szCs w:val="24"/>
        </w:rPr>
        <w:t>:</w:t>
      </w:r>
    </w:p>
    <w:p w:rsidR="00690315" w:rsidRPr="00154A86" w:rsidRDefault="00422F22" w:rsidP="00690315">
      <w:pPr>
        <w:tabs>
          <w:tab w:val="left" w:pos="2694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154A86">
        <w:rPr>
          <w:szCs w:val="24"/>
        </w:rPr>
        <w:t>„</w:t>
      </w:r>
      <w:r w:rsidR="00690315" w:rsidRPr="00154A86">
        <w:rPr>
          <w:szCs w:val="24"/>
        </w:rPr>
        <w:t>Egyéb tevékenységi körök:</w:t>
      </w:r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5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7411’25 Ipari terméktervezés, divattervezés</w:t>
        </w:r>
      </w:hyperlink>
      <w:r w:rsidR="00690315" w:rsidRPr="00154A86">
        <w:rPr>
          <w:bCs/>
          <w:iCs/>
          <w:szCs w:val="24"/>
        </w:rPr>
        <w:t xml:space="preserve">, </w:t>
      </w:r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6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7412’25 Grafikai tervezés, vizuális kommunikáció</w:t>
        </w:r>
      </w:hyperlink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7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7413’25 Belsőépítészet</w:t>
        </w:r>
      </w:hyperlink>
      <w:r w:rsidR="00690315" w:rsidRPr="00154A86">
        <w:rPr>
          <w:bCs/>
          <w:iCs/>
          <w:szCs w:val="24"/>
        </w:rPr>
        <w:t xml:space="preserve">, </w:t>
      </w:r>
      <w:hyperlink r:id="rId8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7414’25 Egyéb formatervezés</w:t>
        </w:r>
      </w:hyperlink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9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8230’25 Konferencia, kereskedelmi bemutató szervezése</w:t>
        </w:r>
      </w:hyperlink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10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9329’25 M.n.s. szórakoztatás, szabadidős tevékenység</w:t>
        </w:r>
      </w:hyperlink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11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9011’25 Irodalmi, zenei alkotótevékenység</w:t>
        </w:r>
      </w:hyperlink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12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9012’25 Képzőművészeti alkotótevékenység</w:t>
        </w:r>
      </w:hyperlink>
    </w:p>
    <w:p w:rsidR="00690315" w:rsidRPr="00154A86" w:rsidRDefault="00803D56" w:rsidP="00690315">
      <w:pPr>
        <w:jc w:val="both"/>
        <w:rPr>
          <w:bCs/>
          <w:iCs/>
          <w:szCs w:val="24"/>
        </w:rPr>
      </w:pPr>
      <w:hyperlink r:id="rId13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9013’25 Egyéb alkotóművészeti tevékenység</w:t>
        </w:r>
      </w:hyperlink>
    </w:p>
    <w:p w:rsidR="00690315" w:rsidRPr="00422F22" w:rsidRDefault="00803D56" w:rsidP="00690315">
      <w:pPr>
        <w:spacing w:line="360" w:lineRule="auto"/>
        <w:contextualSpacing/>
        <w:rPr>
          <w:szCs w:val="24"/>
        </w:rPr>
      </w:pPr>
      <w:hyperlink r:id="rId14" w:history="1">
        <w:r w:rsidR="00690315" w:rsidRPr="00154A86">
          <w:rPr>
            <w:rStyle w:val="Hiperhivatkozs"/>
            <w:bCs/>
            <w:iCs/>
            <w:color w:val="auto"/>
            <w:szCs w:val="24"/>
            <w:u w:val="none"/>
          </w:rPr>
          <w:t>9130’25 Kulturális örökség megőrzését, helyreállítását támogató tevékenység</w:t>
        </w:r>
      </w:hyperlink>
      <w:r w:rsidR="00422F22" w:rsidRPr="00154A86">
        <w:rPr>
          <w:rStyle w:val="Hiperhivatkozs"/>
          <w:bCs/>
          <w:iCs/>
          <w:color w:val="auto"/>
          <w:szCs w:val="24"/>
          <w:u w:val="none"/>
        </w:rPr>
        <w:t>”</w:t>
      </w:r>
    </w:p>
    <w:p w:rsidR="000613F9" w:rsidRDefault="00690315" w:rsidP="00675613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/>
          <w:bCs/>
          <w:szCs w:val="24"/>
        </w:rPr>
        <w:t>3</w:t>
      </w:r>
      <w:r w:rsidR="00720AFF" w:rsidRPr="00775EDD">
        <w:rPr>
          <w:b/>
          <w:bCs/>
          <w:szCs w:val="24"/>
        </w:rPr>
        <w:t>)</w:t>
      </w:r>
      <w:r w:rsidR="000613F9">
        <w:rPr>
          <w:b/>
          <w:bCs/>
          <w:szCs w:val="24"/>
        </w:rPr>
        <w:t xml:space="preserve"> </w:t>
      </w:r>
      <w:r w:rsidR="000613F9" w:rsidRPr="000613F9">
        <w:rPr>
          <w:bCs/>
          <w:szCs w:val="24"/>
        </w:rPr>
        <w:t xml:space="preserve">Az alapító okirat 6. pontjának első bekezdése </w:t>
      </w:r>
      <w:r w:rsidR="00F96C97">
        <w:rPr>
          <w:bCs/>
          <w:szCs w:val="24"/>
        </w:rPr>
        <w:t xml:space="preserve">(A tag törzsbetétje) </w:t>
      </w:r>
      <w:r w:rsidR="000613F9" w:rsidRPr="000613F9">
        <w:rPr>
          <w:bCs/>
          <w:szCs w:val="24"/>
        </w:rPr>
        <w:t>helyébe az alábbi bekezdés lép:</w:t>
      </w:r>
      <w:r w:rsidR="00720AFF" w:rsidRPr="00775EDD">
        <w:rPr>
          <w:bCs/>
          <w:szCs w:val="24"/>
        </w:rPr>
        <w:t xml:space="preserve"> </w:t>
      </w:r>
    </w:p>
    <w:p w:rsidR="00F96C97" w:rsidRDefault="00F96C97" w:rsidP="00675613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F96C97" w:rsidRPr="00F96C97" w:rsidRDefault="00F96C97" w:rsidP="00F96C97">
      <w:pPr>
        <w:spacing w:line="360" w:lineRule="auto"/>
        <w:contextualSpacing/>
        <w:rPr>
          <w:bCs/>
          <w:szCs w:val="24"/>
        </w:rPr>
      </w:pPr>
      <w:r w:rsidRPr="00F96C97">
        <w:rPr>
          <w:szCs w:val="24"/>
        </w:rPr>
        <w:t xml:space="preserve">„Név: </w:t>
      </w:r>
      <w:r w:rsidRPr="00F96C97">
        <w:rPr>
          <w:bCs/>
          <w:szCs w:val="24"/>
        </w:rPr>
        <w:t>Budapest Főváros XIV. Kerület Zugló Önkormányzata”</w:t>
      </w:r>
    </w:p>
    <w:p w:rsidR="00675613" w:rsidRPr="00775EDD" w:rsidRDefault="00422F22" w:rsidP="00675613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/>
          <w:bCs/>
          <w:szCs w:val="24"/>
        </w:rPr>
        <w:t>4</w:t>
      </w:r>
      <w:r w:rsidR="00F96C97" w:rsidRPr="00F96C97">
        <w:rPr>
          <w:b/>
          <w:bCs/>
          <w:szCs w:val="24"/>
        </w:rPr>
        <w:t xml:space="preserve">) </w:t>
      </w:r>
      <w:r w:rsidR="00720AFF" w:rsidRPr="00775EDD">
        <w:rPr>
          <w:bCs/>
          <w:szCs w:val="24"/>
        </w:rPr>
        <w:t>Az alapító okirat 11</w:t>
      </w:r>
      <w:r w:rsidR="00775EDD" w:rsidRPr="00775EDD">
        <w:rPr>
          <w:bCs/>
          <w:szCs w:val="24"/>
        </w:rPr>
        <w:t>. y) pontja helyébe az alábbi y) pont lép:</w:t>
      </w:r>
    </w:p>
    <w:p w:rsidR="00775EDD" w:rsidRPr="00775EDD" w:rsidRDefault="00775EDD" w:rsidP="00675613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775EDD" w:rsidRPr="00775EDD" w:rsidRDefault="00775EDD" w:rsidP="00775EDD">
      <w:pPr>
        <w:autoSpaceDE w:val="0"/>
        <w:autoSpaceDN w:val="0"/>
        <w:adjustRightInd w:val="0"/>
        <w:ind w:left="360"/>
        <w:jc w:val="both"/>
        <w:rPr>
          <w:bCs/>
          <w:color w:val="auto"/>
          <w:szCs w:val="24"/>
        </w:rPr>
      </w:pPr>
      <w:r w:rsidRPr="00775EDD">
        <w:rPr>
          <w:bCs/>
          <w:szCs w:val="24"/>
        </w:rPr>
        <w:t>„y) társaság működésével kapcsolatosan</w:t>
      </w:r>
    </w:p>
    <w:p w:rsidR="00775EDD" w:rsidRP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t>döntés minden olyan jogügyletről, amely által a társaság vállalna garanciát, kezességet, vagy más hasonló egyoldalú kötelezettséget;</w:t>
      </w:r>
    </w:p>
    <w:p w:rsidR="00775EDD" w:rsidRP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t>döntés működési, fejlesztési és beruházási hitel felvétele, tőzsdei jogügyletek végzése tárgyában;</w:t>
      </w:r>
    </w:p>
    <w:p w:rsidR="00775EDD" w:rsidRP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t>döntés a társaság tulajdonában álló ingatlanokkal, vagyon értékű jogokkal kapcsolatos, 5.000.000,-Ft - azaz ötmillió forint - értékhatárt meghaladó szerződések megkötéséről;</w:t>
      </w:r>
    </w:p>
    <w:p w:rsidR="00775EDD" w:rsidRP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t>döntés ingó vagyontárgyakkal kapcsolatos, 5.000.000,-Ft értéket meghaladó szerződések megkötéséről;</w:t>
      </w:r>
    </w:p>
    <w:p w:rsidR="00775EDD" w:rsidRP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t>döntés azon szerződések megkötéséről, amelyek esetében a felmondási idő 90 napnál hosszabb</w:t>
      </w:r>
    </w:p>
    <w:p w:rsidR="00775EDD" w:rsidRP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lastRenderedPageBreak/>
        <w:t>döntés 10.000.000,-Ft összértéket meghaladó kötelezettség- vállalásról, döntés egyéb, a társaság szokásos üzletmenetébe nem tartozó, 5.000.000,-Ft összeget meghaladó kötelezettség vállalása kapcsán</w:t>
      </w:r>
    </w:p>
    <w:p w:rsidR="00775EDD" w:rsidRPr="00775EDD" w:rsidRDefault="00775EDD" w:rsidP="00775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szCs w:val="24"/>
        </w:rPr>
      </w:pPr>
      <w:r w:rsidRPr="00775EDD">
        <w:rPr>
          <w:bCs/>
          <w:iCs/>
          <w:szCs w:val="24"/>
        </w:rPr>
        <w:t>A jogügylet értékének megítélése az alábbiak szerint történik:</w:t>
      </w:r>
    </w:p>
    <w:p w:rsidR="00775EDD" w:rsidRPr="00775EDD" w:rsidRDefault="00775EDD" w:rsidP="00775EDD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  <w:bCs/>
          <w:iCs/>
          <w:szCs w:val="24"/>
        </w:rPr>
      </w:pPr>
      <w:r w:rsidRPr="00775EDD">
        <w:rPr>
          <w:bCs/>
          <w:iCs/>
          <w:szCs w:val="24"/>
        </w:rPr>
        <w:t>Határozott idejű kötelezettségvállalás esetén a jogügylet teljes időtartamát figyelembe kell venni. Amennyiben a vizsgált szerződéshez képest ugyanazon felek között, ugyanilyen jellegű szolgáltatással a vizsgált szerződés várható hatályba lépését megelőző 2 évben már létezett szerződése a társaságnak, úgy ezen korábbi szerződések értéket az értékhatár megállapításánál hozzá kell számítani a vizsgált szerződés értékééhez.</w:t>
      </w:r>
    </w:p>
    <w:p w:rsidR="00775EDD" w:rsidRPr="00775EDD" w:rsidRDefault="00775EDD" w:rsidP="00775EDD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bCs/>
          <w:iCs/>
          <w:szCs w:val="24"/>
        </w:rPr>
      </w:pPr>
      <w:r w:rsidRPr="00775EDD">
        <w:rPr>
          <w:bCs/>
          <w:iCs/>
          <w:szCs w:val="24"/>
        </w:rPr>
        <w:t>Határozatlan idejű kötelezettségvállalás esetén az első három évet kell figyelembe venni.</w:t>
      </w:r>
    </w:p>
    <w:p w:rsidR="00775EDD" w:rsidRPr="00775EDD" w:rsidRDefault="00775EDD" w:rsidP="00775EDD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bCs/>
          <w:iCs/>
          <w:szCs w:val="24"/>
        </w:rPr>
      </w:pPr>
      <w:r w:rsidRPr="00775EDD">
        <w:rPr>
          <w:bCs/>
          <w:iCs/>
          <w:szCs w:val="24"/>
        </w:rPr>
        <w:t>Keretösszeget tartalmazó megállapodások esetén a teljes keretösszeget kell figyelembe venni.</w:t>
      </w:r>
    </w:p>
    <w:p w:rsidR="00775EDD" w:rsidRPr="00775EDD" w:rsidRDefault="00775EDD" w:rsidP="00775EDD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bCs/>
          <w:iCs/>
          <w:szCs w:val="24"/>
        </w:rPr>
      </w:pPr>
      <w:r w:rsidRPr="00775EDD">
        <w:rPr>
          <w:bCs/>
          <w:iCs/>
          <w:szCs w:val="24"/>
        </w:rPr>
        <w:t>Egyéb jogügyletek (pl.: adásvételi szerződések) esetében pedig a jogügylet tárgyát képező értéket kell figyelembe venni.</w:t>
      </w:r>
    </w:p>
    <w:p w:rsidR="00775EDD" w:rsidRP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t>döntés olyan közös beszerzési szerződések megkötéséről, amely több, az alapító tulajdonában lévő gazdasági társaságot érint;</w:t>
      </w:r>
    </w:p>
    <w:p w:rsidR="00775EDD" w:rsidRDefault="00775EDD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  <w:r w:rsidRPr="00775EDD">
        <w:rPr>
          <w:bCs/>
          <w:szCs w:val="24"/>
        </w:rPr>
        <w:t>döntés a szervezeti és működési szabályzat (SZMSZ) elfogadása és módosítása tárgyában.”</w:t>
      </w:r>
    </w:p>
    <w:p w:rsidR="009C0A09" w:rsidRDefault="009C0A09" w:rsidP="00775EDD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bCs/>
          <w:szCs w:val="24"/>
        </w:rPr>
      </w:pPr>
    </w:p>
    <w:p w:rsidR="00831A58" w:rsidRPr="00775EDD" w:rsidRDefault="00422F22" w:rsidP="00831A58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/>
          <w:bCs/>
          <w:szCs w:val="24"/>
        </w:rPr>
        <w:t>5</w:t>
      </w:r>
      <w:r w:rsidR="00831A58" w:rsidRPr="00D122BA">
        <w:rPr>
          <w:b/>
          <w:bCs/>
          <w:szCs w:val="24"/>
        </w:rPr>
        <w:t>)</w:t>
      </w:r>
      <w:r w:rsidR="00831A58">
        <w:rPr>
          <w:bCs/>
          <w:szCs w:val="24"/>
        </w:rPr>
        <w:t xml:space="preserve"> Az alapító okirat 11. aa) pontja törlésre kerül.</w:t>
      </w:r>
    </w:p>
    <w:p w:rsidR="00775EDD" w:rsidRPr="00775EDD" w:rsidRDefault="00775EDD" w:rsidP="00675613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675613" w:rsidRPr="00775EDD" w:rsidRDefault="00675613" w:rsidP="00675613">
      <w:pPr>
        <w:autoSpaceDE w:val="0"/>
        <w:autoSpaceDN w:val="0"/>
        <w:adjustRightInd w:val="0"/>
        <w:jc w:val="both"/>
        <w:rPr>
          <w:szCs w:val="24"/>
        </w:rPr>
      </w:pPr>
      <w:r w:rsidRPr="00775EDD">
        <w:rPr>
          <w:szCs w:val="24"/>
        </w:rPr>
        <w:t>Kelt: Budapest,                                 napján</w:t>
      </w:r>
    </w:p>
    <w:p w:rsidR="00675613" w:rsidRPr="00775EDD" w:rsidRDefault="00675613" w:rsidP="00675613">
      <w:pPr>
        <w:rPr>
          <w:szCs w:val="24"/>
        </w:rPr>
      </w:pPr>
    </w:p>
    <w:p w:rsidR="00675613" w:rsidRDefault="00675613" w:rsidP="00675613">
      <w:pPr>
        <w:rPr>
          <w:szCs w:val="24"/>
        </w:rPr>
      </w:pPr>
    </w:p>
    <w:p w:rsidR="00CD6DE8" w:rsidRPr="00775EDD" w:rsidRDefault="00CD6DE8" w:rsidP="00675613">
      <w:pPr>
        <w:rPr>
          <w:szCs w:val="24"/>
        </w:rPr>
      </w:pPr>
    </w:p>
    <w:p w:rsidR="00675613" w:rsidRPr="007B52BB" w:rsidRDefault="00B86C5D" w:rsidP="00675613">
      <w:pPr>
        <w:jc w:val="center"/>
        <w:rPr>
          <w:szCs w:val="24"/>
        </w:rPr>
      </w:pPr>
      <w:r w:rsidRPr="007B52BB">
        <w:rPr>
          <w:szCs w:val="24"/>
        </w:rPr>
        <w:t>……….</w:t>
      </w:r>
      <w:r w:rsidR="00675613" w:rsidRPr="007B52BB">
        <w:rPr>
          <w:szCs w:val="24"/>
        </w:rPr>
        <w:t>………………………………………………………………</w:t>
      </w:r>
    </w:p>
    <w:p w:rsidR="00675613" w:rsidRPr="007B52BB" w:rsidRDefault="00385273" w:rsidP="00675613">
      <w:pPr>
        <w:jc w:val="center"/>
        <w:rPr>
          <w:szCs w:val="24"/>
        </w:rPr>
      </w:pPr>
      <w:bookmarkStart w:id="1" w:name="_Hlk102652425"/>
      <w:r w:rsidRPr="007B52BB">
        <w:rPr>
          <w:bCs/>
          <w:szCs w:val="24"/>
        </w:rPr>
        <w:t>Zugló Információs és Médiacsoport Kor</w:t>
      </w:r>
      <w:r w:rsidRPr="007B52BB">
        <w:rPr>
          <w:szCs w:val="24"/>
        </w:rPr>
        <w:t xml:space="preserve">látolt Felelősségű Társaság </w:t>
      </w:r>
    </w:p>
    <w:p w:rsidR="00675613" w:rsidRPr="007B52BB" w:rsidRDefault="00675613" w:rsidP="00675613">
      <w:pPr>
        <w:jc w:val="center"/>
        <w:rPr>
          <w:szCs w:val="24"/>
        </w:rPr>
      </w:pPr>
      <w:r w:rsidRPr="007B52BB">
        <w:rPr>
          <w:szCs w:val="24"/>
        </w:rPr>
        <w:t xml:space="preserve"> </w:t>
      </w:r>
      <w:r w:rsidR="00385273" w:rsidRPr="007B52BB">
        <w:rPr>
          <w:szCs w:val="24"/>
        </w:rPr>
        <w:t>taggyűlés</w:t>
      </w:r>
      <w:r w:rsidR="00B86C5D" w:rsidRPr="007B52BB">
        <w:rPr>
          <w:szCs w:val="24"/>
        </w:rPr>
        <w:t>i</w:t>
      </w:r>
      <w:r w:rsidRPr="007B52BB">
        <w:rPr>
          <w:szCs w:val="24"/>
        </w:rPr>
        <w:t xml:space="preserve"> jogait gyakorló </w:t>
      </w:r>
      <w:r w:rsidR="00385273" w:rsidRPr="007B52BB">
        <w:rPr>
          <w:szCs w:val="24"/>
        </w:rPr>
        <w:t>egyedüli tag</w:t>
      </w:r>
      <w:r w:rsidRPr="007B52BB">
        <w:rPr>
          <w:szCs w:val="24"/>
        </w:rPr>
        <w:t>, Budapest Főváros XIV. Kerület Zugló Önkormányzata Képviselő-testülete</w:t>
      </w:r>
    </w:p>
    <w:p w:rsidR="00675613" w:rsidRPr="00775EDD" w:rsidRDefault="00675613" w:rsidP="00675613">
      <w:pPr>
        <w:jc w:val="center"/>
        <w:rPr>
          <w:szCs w:val="24"/>
        </w:rPr>
      </w:pPr>
      <w:r w:rsidRPr="007B52BB">
        <w:rPr>
          <w:szCs w:val="24"/>
        </w:rPr>
        <w:t>képv</w:t>
      </w:r>
      <w:r w:rsidR="00B86C5D" w:rsidRPr="007B52BB">
        <w:rPr>
          <w:szCs w:val="24"/>
        </w:rPr>
        <w:t>iseli</w:t>
      </w:r>
      <w:r w:rsidRPr="007B52BB">
        <w:rPr>
          <w:szCs w:val="24"/>
        </w:rPr>
        <w:t>: Rózsa András polgármester</w:t>
      </w:r>
    </w:p>
    <w:bookmarkEnd w:id="1"/>
    <w:p w:rsidR="00675613" w:rsidRDefault="00675613" w:rsidP="00675613">
      <w:pPr>
        <w:rPr>
          <w:szCs w:val="24"/>
        </w:rPr>
      </w:pPr>
    </w:p>
    <w:p w:rsidR="00CD6DE8" w:rsidRPr="00775EDD" w:rsidRDefault="00CD6DE8" w:rsidP="00675613">
      <w:pPr>
        <w:rPr>
          <w:szCs w:val="24"/>
        </w:rPr>
      </w:pPr>
    </w:p>
    <w:p w:rsidR="00675613" w:rsidRPr="00775EDD" w:rsidRDefault="00675613" w:rsidP="00675613">
      <w:pPr>
        <w:rPr>
          <w:szCs w:val="24"/>
        </w:rPr>
      </w:pPr>
    </w:p>
    <w:p w:rsidR="00675613" w:rsidRPr="00775EDD" w:rsidRDefault="00675613" w:rsidP="00675613">
      <w:pPr>
        <w:jc w:val="both"/>
        <w:rPr>
          <w:bCs/>
          <w:szCs w:val="24"/>
        </w:rPr>
      </w:pPr>
      <w:r w:rsidRPr="00775EDD">
        <w:rPr>
          <w:szCs w:val="24"/>
        </w:rPr>
        <w:t>Ellenjegyzem Budapesten, …………………………. napján dr. Kovács Eszter ügyvéd (1023</w:t>
      </w:r>
      <w:r w:rsidRPr="00775EDD">
        <w:rPr>
          <w:b/>
          <w:szCs w:val="24"/>
        </w:rPr>
        <w:t xml:space="preserve"> </w:t>
      </w:r>
      <w:r w:rsidRPr="00775EDD">
        <w:rPr>
          <w:bCs/>
          <w:szCs w:val="24"/>
        </w:rPr>
        <w:t>Budapest, Lukács utca 4., KASZ: 36063727)”</w:t>
      </w:r>
    </w:p>
    <w:p w:rsidR="00675613" w:rsidRPr="00775EDD" w:rsidRDefault="00675613" w:rsidP="00675613">
      <w:pPr>
        <w:jc w:val="both"/>
        <w:rPr>
          <w:bCs/>
          <w:szCs w:val="24"/>
        </w:rPr>
      </w:pPr>
    </w:p>
    <w:p w:rsidR="00FB51AA" w:rsidRPr="00775EDD" w:rsidRDefault="00FB51AA">
      <w:pPr>
        <w:rPr>
          <w:szCs w:val="24"/>
        </w:rPr>
      </w:pPr>
    </w:p>
    <w:sectPr w:rsidR="00FB51AA" w:rsidRPr="0077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A2252"/>
    <w:multiLevelType w:val="hybridMultilevel"/>
    <w:tmpl w:val="A90233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7427"/>
    <w:multiLevelType w:val="hybridMultilevel"/>
    <w:tmpl w:val="D76E5832"/>
    <w:lvl w:ilvl="0" w:tplc="639CCEF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52AC5"/>
    <w:multiLevelType w:val="hybridMultilevel"/>
    <w:tmpl w:val="5DAE74A0"/>
    <w:lvl w:ilvl="0" w:tplc="4A4E0D08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13"/>
    <w:rsid w:val="000613F9"/>
    <w:rsid w:val="000D11B3"/>
    <w:rsid w:val="00154A86"/>
    <w:rsid w:val="001A361D"/>
    <w:rsid w:val="001E3E22"/>
    <w:rsid w:val="00385273"/>
    <w:rsid w:val="003A59C9"/>
    <w:rsid w:val="00422F22"/>
    <w:rsid w:val="00577114"/>
    <w:rsid w:val="005F4F0E"/>
    <w:rsid w:val="00675613"/>
    <w:rsid w:val="00690315"/>
    <w:rsid w:val="00702AC1"/>
    <w:rsid w:val="00720AFF"/>
    <w:rsid w:val="00775EDD"/>
    <w:rsid w:val="00790C6B"/>
    <w:rsid w:val="007B52BB"/>
    <w:rsid w:val="00803D56"/>
    <w:rsid w:val="00831A58"/>
    <w:rsid w:val="008F797A"/>
    <w:rsid w:val="009C0A09"/>
    <w:rsid w:val="00B86C5D"/>
    <w:rsid w:val="00CD6DE8"/>
    <w:rsid w:val="00CE63D4"/>
    <w:rsid w:val="00D122BA"/>
    <w:rsid w:val="00D541DB"/>
    <w:rsid w:val="00E60C70"/>
    <w:rsid w:val="00F96C97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834D3-53EB-449A-9E37-626D186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613"/>
    <w:pPr>
      <w:spacing w:after="0" w:afterAutospacing="0" w:line="240" w:lineRule="auto"/>
    </w:pPr>
    <w:rPr>
      <w:rFonts w:eastAsia="Times New Roman" w:cs="Times New Roman"/>
      <w:color w:val="0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90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or2025.hu/7414/Egy&#233;b%20formatervez&#233;s/" TargetMode="External"/><Relationship Id="rId13" Type="http://schemas.openxmlformats.org/officeDocument/2006/relationships/hyperlink" Target="https://www.teaor2025.hu/9013/Egy&#233;b%20alkot&#243;m&#369;v&#233;szeti%20tev&#233;kenys&#233;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or2025.hu/7413/Bels&#337;&#233;p&#237;t&#233;szet/" TargetMode="External"/><Relationship Id="rId12" Type="http://schemas.openxmlformats.org/officeDocument/2006/relationships/hyperlink" Target="https://www.teaor2025.hu/9012/K&#233;pz&#337;m&#369;v&#233;szeti%20alkot&#243;tev&#233;kenys&#233;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aor2025.hu/7412/Grafikai%20tervez&#233;s,%20vizu&#225;lis%20kommunik&#225;ci&#243;/" TargetMode="External"/><Relationship Id="rId11" Type="http://schemas.openxmlformats.org/officeDocument/2006/relationships/hyperlink" Target="https://www.teaor2025.hu/9011/Irodalmi,%20zenei%20alkot&#243;tev&#233;kenys&#233;g/" TargetMode="External"/><Relationship Id="rId5" Type="http://schemas.openxmlformats.org/officeDocument/2006/relationships/hyperlink" Target="https://www.teaor2025.hu/7411/Ipari%20term&#233;ktervez&#233;s,%20divattervez&#233;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eaor2025.hu/9329/M.n.s.%20sz&#243;rakoztat&#225;s,%20szabadid&#337;s%20tev&#233;kenys&#233;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or2025.hu/8230/Konferencia,%20kereskedelmi%20bemutat&#243;%20szervez&#233;se/" TargetMode="External"/><Relationship Id="rId14" Type="http://schemas.openxmlformats.org/officeDocument/2006/relationships/hyperlink" Target="https://www.teaor2025.hu/9130/Kultur&#225;lis%20&#246;r&#246;ks&#233;g%20meg&#337;rz&#233;s&#233;t,%20helyre&#225;ll&#237;t&#225;s&#225;t%20t&#225;mogat&#243;%20tev&#233;kenys&#233;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2</cp:revision>
  <dcterms:created xsi:type="dcterms:W3CDTF">2025-07-09T06:51:00Z</dcterms:created>
  <dcterms:modified xsi:type="dcterms:W3CDTF">2025-07-09T06:51:00Z</dcterms:modified>
</cp:coreProperties>
</file>