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36B" w:rsidRDefault="00706F79" w:rsidP="001A3426">
      <w:pPr>
        <w:jc w:val="right"/>
      </w:pPr>
      <w:r>
        <w:t>3</w:t>
      </w:r>
      <w:r w:rsidR="001A3426">
        <w:t>. melléklet az 123-</w:t>
      </w:r>
      <w:r>
        <w:t>576</w:t>
      </w:r>
      <w:r w:rsidR="001A3426">
        <w:t>/2025. előterjesztéshez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6BF2" w:rsidRPr="007B6BF2" w:rsidTr="005223F0">
        <w:tc>
          <w:tcPr>
            <w:tcW w:w="6997" w:type="dxa"/>
          </w:tcPr>
          <w:p w:rsidR="005223F0" w:rsidRPr="007B6BF2" w:rsidRDefault="008F02E7" w:rsidP="008F02E7">
            <w:pPr>
              <w:jc w:val="center"/>
              <w:rPr>
                <w:b/>
                <w:color w:val="000000" w:themeColor="text1"/>
              </w:rPr>
            </w:pPr>
            <w:r w:rsidRPr="007B6BF2">
              <w:rPr>
                <w:rFonts w:cs="Times New Roman"/>
                <w:b/>
                <w:color w:val="000000" w:themeColor="text1"/>
              </w:rPr>
              <w:t xml:space="preserve">A városrendezési jogintézményekről szóló 12/2021. (III. 26.) önkormányzati rendelet </w:t>
            </w:r>
            <w:r w:rsidR="00AC07F2" w:rsidRPr="007B6BF2">
              <w:rPr>
                <w:b/>
                <w:color w:val="000000" w:themeColor="text1"/>
              </w:rPr>
              <w:t>hatályos rendelkezései</w:t>
            </w:r>
          </w:p>
        </w:tc>
        <w:tc>
          <w:tcPr>
            <w:tcW w:w="6997" w:type="dxa"/>
          </w:tcPr>
          <w:p w:rsidR="005223F0" w:rsidRPr="007B6BF2" w:rsidRDefault="008F02E7" w:rsidP="008F02E7">
            <w:pPr>
              <w:jc w:val="center"/>
              <w:rPr>
                <w:color w:val="000000" w:themeColor="text1"/>
              </w:rPr>
            </w:pPr>
            <w:r w:rsidRPr="007B6BF2">
              <w:rPr>
                <w:rFonts w:cs="Times New Roman"/>
                <w:b/>
                <w:color w:val="000000" w:themeColor="text1"/>
              </w:rPr>
              <w:t xml:space="preserve">A városrendezési jogintézményekről szóló 12/2021. (III. 26.) </w:t>
            </w:r>
            <w:r w:rsidR="00AC07F2" w:rsidRPr="007B6BF2">
              <w:rPr>
                <w:b/>
                <w:color w:val="000000" w:themeColor="text1"/>
              </w:rPr>
              <w:t xml:space="preserve">önkormányzati rendelet módosításáról </w:t>
            </w:r>
            <w:proofErr w:type="gramStart"/>
            <w:r w:rsidR="00AC07F2" w:rsidRPr="007B6BF2">
              <w:rPr>
                <w:b/>
                <w:color w:val="000000" w:themeColor="text1"/>
              </w:rPr>
              <w:t>szóló …</w:t>
            </w:r>
            <w:proofErr w:type="gramEnd"/>
            <w:r w:rsidR="00AC07F2" w:rsidRPr="007B6BF2">
              <w:rPr>
                <w:b/>
                <w:color w:val="000000" w:themeColor="text1"/>
              </w:rPr>
              <w:t>…/202</w:t>
            </w:r>
            <w:r w:rsidR="002B6E16" w:rsidRPr="007B6BF2">
              <w:rPr>
                <w:b/>
                <w:color w:val="000000" w:themeColor="text1"/>
              </w:rPr>
              <w:t>5</w:t>
            </w:r>
            <w:r w:rsidR="00AC07F2" w:rsidRPr="007B6BF2">
              <w:rPr>
                <w:b/>
                <w:color w:val="000000" w:themeColor="text1"/>
              </w:rPr>
              <w:t xml:space="preserve"> (……….) önkormányzati rendelet rendelkezései</w:t>
            </w:r>
            <w:r w:rsidRPr="007B6BF2">
              <w:rPr>
                <w:b/>
                <w:color w:val="000000" w:themeColor="text1"/>
              </w:rPr>
              <w:t xml:space="preserve"> </w:t>
            </w:r>
          </w:p>
        </w:tc>
      </w:tr>
      <w:tr w:rsidR="007B6BF2" w:rsidRPr="007B6BF2" w:rsidTr="005223F0">
        <w:tc>
          <w:tcPr>
            <w:tcW w:w="6997" w:type="dxa"/>
          </w:tcPr>
          <w:p w:rsidR="005223F0" w:rsidRPr="007B6BF2" w:rsidRDefault="008F02E7" w:rsidP="00A14553">
            <w:pPr>
              <w:jc w:val="both"/>
              <w:rPr>
                <w:color w:val="000000" w:themeColor="text1"/>
              </w:rPr>
            </w:pPr>
            <w:r w:rsidRPr="007B6BF2">
              <w:rPr>
                <w:color w:val="000000" w:themeColor="text1"/>
              </w:rPr>
              <w:t>Budapest Főváros XIV. Kerület Zugló Önkormányzata Képviselő-testülete az Alaptörvény 32. cikk (2) bekezdésében meghatározott eredeti jogalkotói hatáskörében, a Magyarország helyi önkormányzatairól szóló 2011. évi CLXXXIX. törvény 23. § (5) bekezdés 5. pontjában meghatározott feladatkörében eljárva, a katasztrófavédelemről és a hozzá kapcsolódó egyes törvények módosításáról szóló 2011. évi CXXVIII. tv. 46. § (4) bekezdésére és a veszélyhelyzet kihirdetéséről és a veszélyhelyzeti intézkedések hatálybalépéséről szóló 27/2021. (I. 29.) Kormányrendelet 1. §, és a 4. § (2) bekezdésére is figyelemmel, a következőket rendeli el:</w:t>
            </w:r>
          </w:p>
        </w:tc>
        <w:tc>
          <w:tcPr>
            <w:tcW w:w="6997" w:type="dxa"/>
          </w:tcPr>
          <w:p w:rsidR="008F02E7" w:rsidRPr="007B6BF2" w:rsidRDefault="008F02E7" w:rsidP="008F02E7">
            <w:pPr>
              <w:spacing w:after="120"/>
              <w:jc w:val="both"/>
              <w:rPr>
                <w:rFonts w:cs="Times New Roman"/>
                <w:color w:val="000000" w:themeColor="text1"/>
              </w:rPr>
            </w:pPr>
            <w:r w:rsidRPr="007B6BF2">
              <w:rPr>
                <w:rFonts w:cs="Times New Roman"/>
                <w:color w:val="000000" w:themeColor="text1"/>
              </w:rPr>
              <w:t>[1] A rendelet célja Budapest Főváros XIV. Kerület Zugló Önkormányzata közigazgatási területén, a városrendezéshez kapcsolódó sajátos jogintézmények helyi részletszabályainak módosítása a hatályos jogszabályok alapján.</w:t>
            </w:r>
          </w:p>
          <w:p w:rsidR="005223F0" w:rsidRPr="007B6BF2" w:rsidRDefault="008F02E7" w:rsidP="00A14553">
            <w:pPr>
              <w:spacing w:after="120"/>
              <w:jc w:val="both"/>
              <w:rPr>
                <w:rFonts w:eastAsia="Times New Roman" w:cstheme="minorHAnsi"/>
                <w:color w:val="000000" w:themeColor="text1"/>
                <w:szCs w:val="24"/>
                <w:lang w:eastAsia="hu-HU"/>
              </w:rPr>
            </w:pPr>
            <w:r w:rsidRPr="007B6BF2">
              <w:rPr>
                <w:rFonts w:cs="Times New Roman"/>
                <w:color w:val="000000" w:themeColor="text1"/>
              </w:rPr>
              <w:t>[2] Budapest Főváros XIV. Kerület Zugló Önkormányzata Képviselő-testülete a magyar építészetről szóló 2023. évi C. törvény 225. § (8) bekezdésének 1. pontjában kapott felhatalmazás alapján, a Magyarország Alaptörvénye 32. cikk (1) bekezdés a) pontjában és a Magyarország helyi önkormányzatairól szóló 2011. évi CLXXXIX. törvény 23. § (5) bekezdés 5. pontjában meghatározott feladatkörében eljárva, a következőket rendeli el:</w:t>
            </w:r>
            <w:r w:rsidR="00A14553" w:rsidRPr="007B6BF2">
              <w:rPr>
                <w:rFonts w:cs="Times New Roman"/>
                <w:color w:val="000000" w:themeColor="text1"/>
              </w:rPr>
              <w:t xml:space="preserve"> </w:t>
            </w:r>
          </w:p>
        </w:tc>
      </w:tr>
      <w:tr w:rsidR="007B6BF2" w:rsidRPr="007B6BF2" w:rsidTr="005223F0">
        <w:tc>
          <w:tcPr>
            <w:tcW w:w="6997" w:type="dxa"/>
          </w:tcPr>
          <w:p w:rsidR="00A14553" w:rsidRPr="00A14553" w:rsidRDefault="00706F79" w:rsidP="00A14553">
            <w:p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 xml:space="preserve">7. </w:t>
            </w:r>
            <w:r w:rsidR="00A14553" w:rsidRPr="007B6BF2">
              <w:rPr>
                <w:rFonts w:eastAsia="Times New Roman" w:cstheme="minorHAnsi"/>
                <w:color w:val="000000" w:themeColor="text1"/>
                <w:lang w:eastAsia="hu-HU"/>
              </w:rPr>
              <w:t>§ (4)</w:t>
            </w:r>
            <w:r w:rsidR="00A14553" w:rsidRPr="00A14553">
              <w:rPr>
                <w:rFonts w:eastAsia="Times New Roman" w:cstheme="minorHAnsi"/>
                <w:color w:val="000000" w:themeColor="text1"/>
                <w:lang w:eastAsia="hu-HU"/>
              </w:rPr>
              <w:t xml:space="preserve"> A lakásszám engedményes értékének igénybevételére irányuló városrendezési megállapodás megkötését megelőzően lakásszám környezeti vizsgálat szükséges, melynek során az érintett ingatlan telekhatár vonalaitól mért 50 m szélességű sávban, teljesen vagy részben elhelyezkedő telkeken álló épületekben található lakásszámot kell vizsgálni. Az engedményes értékeket az </w:t>
            </w:r>
            <w:hyperlink r:id="rId5" w:anchor="ME1" w:history="1">
              <w:r w:rsidR="00A14553" w:rsidRPr="00706F79">
                <w:rPr>
                  <w:rFonts w:eastAsia="Times New Roman" w:cstheme="minorHAnsi"/>
                  <w:color w:val="000000" w:themeColor="text1"/>
                  <w:lang w:eastAsia="hu-HU"/>
                </w:rPr>
                <w:t>1. melléklet</w:t>
              </w:r>
            </w:hyperlink>
            <w:r w:rsidR="00A14553" w:rsidRPr="00706F79">
              <w:rPr>
                <w:rFonts w:eastAsia="Times New Roman" w:cstheme="minorHAnsi"/>
                <w:color w:val="000000" w:themeColor="text1"/>
                <w:lang w:eastAsia="hu-HU"/>
              </w:rPr>
              <w:t xml:space="preserve"> </w:t>
            </w:r>
            <w:r w:rsidR="00A14553" w:rsidRPr="00A14553">
              <w:rPr>
                <w:rFonts w:eastAsia="Times New Roman" w:cstheme="minorHAnsi"/>
                <w:color w:val="000000" w:themeColor="text1"/>
                <w:lang w:eastAsia="hu-HU"/>
              </w:rPr>
              <w:t>határozza meg, annak megfelelően, hogy az 50 m szélességű sávban elhelyezkedő ingatlanok</w:t>
            </w:r>
          </w:p>
          <w:p w:rsidR="00A14553" w:rsidRPr="00A14553" w:rsidRDefault="00A14553" w:rsidP="00A14553">
            <w:p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7B6BF2">
              <w:rPr>
                <w:rFonts w:eastAsia="Times New Roman" w:cstheme="minorHAnsi"/>
                <w:color w:val="000000" w:themeColor="text1"/>
                <w:lang w:eastAsia="hu-HU"/>
              </w:rPr>
              <w:t>a)</w:t>
            </w:r>
            <w:r w:rsidRPr="00A14553">
              <w:rPr>
                <w:rFonts w:eastAsia="Times New Roman" w:cstheme="minorHAnsi"/>
                <w:color w:val="000000" w:themeColor="text1"/>
                <w:lang w:eastAsia="hu-HU"/>
              </w:rPr>
              <w:t xml:space="preserve"> több, mint 50%-án két- vagy többlakásos lakóépület található, vagy</w:t>
            </w:r>
          </w:p>
          <w:p w:rsidR="00A14553" w:rsidRPr="00A14553" w:rsidRDefault="00A14553" w:rsidP="00A14553">
            <w:pPr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7B6BF2">
              <w:rPr>
                <w:rFonts w:eastAsia="Times New Roman" w:cstheme="minorHAnsi"/>
                <w:color w:val="000000" w:themeColor="text1"/>
                <w:lang w:eastAsia="hu-HU"/>
              </w:rPr>
              <w:t>b)</w:t>
            </w:r>
            <w:r w:rsidRPr="00A14553">
              <w:rPr>
                <w:rFonts w:eastAsia="Times New Roman" w:cstheme="minorHAnsi"/>
                <w:color w:val="000000" w:themeColor="text1"/>
                <w:lang w:eastAsia="hu-HU"/>
              </w:rPr>
              <w:t xml:space="preserve"> legalább 50%-án egylakásos lakóépület található.</w:t>
            </w:r>
          </w:p>
          <w:p w:rsidR="00A14553" w:rsidRPr="007B6BF2" w:rsidRDefault="00706F79" w:rsidP="00DA579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A14553" w:rsidRPr="007B6BF2" w:rsidRDefault="00A14553" w:rsidP="00DA5795">
            <w:pPr>
              <w:jc w:val="both"/>
              <w:rPr>
                <w:color w:val="000000" w:themeColor="text1"/>
              </w:rPr>
            </w:pPr>
          </w:p>
          <w:p w:rsidR="00A14553" w:rsidRDefault="00A14553" w:rsidP="00DA5795">
            <w:pPr>
              <w:jc w:val="both"/>
              <w:rPr>
                <w:color w:val="000000" w:themeColor="text1"/>
              </w:rPr>
            </w:pPr>
          </w:p>
          <w:p w:rsidR="00706F79" w:rsidRDefault="00706F79" w:rsidP="00DA5795">
            <w:pPr>
              <w:jc w:val="both"/>
              <w:rPr>
                <w:color w:val="000000" w:themeColor="text1"/>
              </w:rPr>
            </w:pPr>
          </w:p>
          <w:p w:rsidR="00706F79" w:rsidRDefault="00706F79" w:rsidP="00DA5795">
            <w:pPr>
              <w:jc w:val="both"/>
              <w:rPr>
                <w:color w:val="000000" w:themeColor="text1"/>
              </w:rPr>
            </w:pPr>
          </w:p>
          <w:p w:rsidR="00706F79" w:rsidRDefault="00706F79" w:rsidP="00DA5795">
            <w:pPr>
              <w:jc w:val="both"/>
              <w:rPr>
                <w:color w:val="000000" w:themeColor="text1"/>
              </w:rPr>
            </w:pPr>
          </w:p>
          <w:p w:rsidR="00706F79" w:rsidRDefault="00706F79" w:rsidP="00DA5795">
            <w:pPr>
              <w:jc w:val="both"/>
              <w:rPr>
                <w:color w:val="000000" w:themeColor="text1"/>
              </w:rPr>
            </w:pPr>
          </w:p>
          <w:p w:rsidR="00706F79" w:rsidRDefault="00706F79" w:rsidP="00DA5795">
            <w:pPr>
              <w:jc w:val="both"/>
              <w:rPr>
                <w:color w:val="000000" w:themeColor="text1"/>
              </w:rPr>
            </w:pPr>
          </w:p>
          <w:p w:rsidR="00706F79" w:rsidRDefault="00706F79" w:rsidP="00DA5795">
            <w:pPr>
              <w:jc w:val="both"/>
              <w:rPr>
                <w:color w:val="000000" w:themeColor="text1"/>
              </w:rPr>
            </w:pPr>
          </w:p>
          <w:p w:rsidR="00706F79" w:rsidRDefault="00706F79" w:rsidP="00DA5795">
            <w:pPr>
              <w:jc w:val="both"/>
              <w:rPr>
                <w:color w:val="000000" w:themeColor="text1"/>
              </w:rPr>
            </w:pPr>
          </w:p>
          <w:p w:rsidR="00706F79" w:rsidRDefault="00706F79" w:rsidP="00DA5795">
            <w:pPr>
              <w:jc w:val="both"/>
              <w:rPr>
                <w:color w:val="000000" w:themeColor="text1"/>
              </w:rPr>
            </w:pPr>
          </w:p>
          <w:p w:rsidR="00706F79" w:rsidRDefault="00706F79" w:rsidP="00DA5795">
            <w:pPr>
              <w:jc w:val="both"/>
              <w:rPr>
                <w:color w:val="000000" w:themeColor="text1"/>
              </w:rPr>
            </w:pPr>
          </w:p>
          <w:p w:rsidR="00706F79" w:rsidRDefault="00706F79" w:rsidP="00DA5795">
            <w:pPr>
              <w:jc w:val="both"/>
              <w:rPr>
                <w:color w:val="000000" w:themeColor="text1"/>
              </w:rPr>
            </w:pPr>
          </w:p>
          <w:p w:rsidR="00706F79" w:rsidRDefault="00706F79" w:rsidP="00DA5795">
            <w:pPr>
              <w:jc w:val="both"/>
              <w:rPr>
                <w:color w:val="000000" w:themeColor="text1"/>
              </w:rPr>
            </w:pPr>
          </w:p>
          <w:p w:rsidR="00706F79" w:rsidRPr="007B6BF2" w:rsidRDefault="00706F79" w:rsidP="00DA579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7477F8" w:rsidRPr="007B6BF2" w:rsidRDefault="007477F8" w:rsidP="00DA5795">
            <w:pPr>
              <w:jc w:val="both"/>
              <w:rPr>
                <w:color w:val="000000" w:themeColor="text1"/>
              </w:rPr>
            </w:pPr>
          </w:p>
        </w:tc>
        <w:tc>
          <w:tcPr>
            <w:tcW w:w="6997" w:type="dxa"/>
          </w:tcPr>
          <w:p w:rsidR="00A14553" w:rsidRPr="007B6BF2" w:rsidRDefault="00A14553" w:rsidP="00A14553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7B6BF2">
              <w:rPr>
                <w:rFonts w:ascii="Calibri" w:hAnsi="Calibri" w:cs="Calibri"/>
                <w:color w:val="000000" w:themeColor="text1"/>
              </w:rPr>
              <w:t>7. § (4) A lakásszám engedményes értékének igénybevételére irányuló városrendezési megállapodás megkötését megelőzően – az 1. melléklet 3. számú táblázat 2-5. soraiban jelölt esetek kivételével - az (5) bekezdésben részletezett vizsgálat szükséges a következő területeken belül elhelyezkedő telkek esetén:</w:t>
            </w:r>
          </w:p>
          <w:p w:rsidR="00A14553" w:rsidRPr="007B6BF2" w:rsidRDefault="00A14553" w:rsidP="00A14553">
            <w:pPr>
              <w:rPr>
                <w:rFonts w:ascii="Calibri" w:hAnsi="Calibri" w:cs="Calibri"/>
                <w:color w:val="000000" w:themeColor="text1"/>
              </w:rPr>
            </w:pPr>
            <w:r w:rsidRPr="007B6BF2">
              <w:rPr>
                <w:rFonts w:ascii="Calibri" w:hAnsi="Calibri" w:cs="Calibri"/>
                <w:color w:val="000000" w:themeColor="text1"/>
              </w:rPr>
              <w:t>a)</w:t>
            </w:r>
            <w:r w:rsidRPr="007B6BF2">
              <w:rPr>
                <w:rFonts w:ascii="Calibri" w:hAnsi="Calibri" w:cs="Calibri"/>
                <w:color w:val="000000" w:themeColor="text1"/>
              </w:rPr>
              <w:tab/>
              <w:t xml:space="preserve">Lk-1/11 építési </w:t>
            </w:r>
            <w:proofErr w:type="spellStart"/>
            <w:r w:rsidRPr="007B6BF2">
              <w:rPr>
                <w:rFonts w:ascii="Calibri" w:hAnsi="Calibri" w:cs="Calibri"/>
                <w:color w:val="000000" w:themeColor="text1"/>
              </w:rPr>
              <w:t>alövezet</w:t>
            </w:r>
            <w:proofErr w:type="spellEnd"/>
            <w:r w:rsidRPr="007B6BF2">
              <w:rPr>
                <w:rFonts w:ascii="Calibri" w:hAnsi="Calibri" w:cs="Calibri"/>
                <w:color w:val="000000" w:themeColor="text1"/>
              </w:rPr>
              <w:t>,</w:t>
            </w:r>
          </w:p>
          <w:p w:rsidR="00A14553" w:rsidRPr="007B6BF2" w:rsidRDefault="00A14553" w:rsidP="00A14553">
            <w:pPr>
              <w:rPr>
                <w:rFonts w:ascii="Calibri" w:hAnsi="Calibri" w:cs="Calibri"/>
                <w:color w:val="000000" w:themeColor="text1"/>
              </w:rPr>
            </w:pPr>
            <w:r w:rsidRPr="007B6BF2">
              <w:rPr>
                <w:rFonts w:ascii="Calibri" w:hAnsi="Calibri" w:cs="Calibri"/>
                <w:color w:val="000000" w:themeColor="text1"/>
              </w:rPr>
              <w:t>b)</w:t>
            </w:r>
            <w:r w:rsidRPr="007B6BF2">
              <w:rPr>
                <w:rFonts w:ascii="Calibri" w:hAnsi="Calibri" w:cs="Calibri"/>
                <w:color w:val="000000" w:themeColor="text1"/>
              </w:rPr>
              <w:tab/>
              <w:t xml:space="preserve">Lke-1/1, Lke-1/2, Lke-1/3, Lk-1/3, Lk-1/8, Lk-1/9, Lk-1/10, Lk-2/2, Lk-2/8 és Lk-2/9 építési </w:t>
            </w:r>
            <w:proofErr w:type="spellStart"/>
            <w:r w:rsidRPr="007B6BF2">
              <w:rPr>
                <w:rFonts w:ascii="Calibri" w:hAnsi="Calibri" w:cs="Calibri"/>
                <w:color w:val="000000" w:themeColor="text1"/>
              </w:rPr>
              <w:t>alövezetek</w:t>
            </w:r>
            <w:proofErr w:type="spellEnd"/>
            <w:r w:rsidRPr="007B6BF2">
              <w:rPr>
                <w:rFonts w:ascii="Calibri" w:hAnsi="Calibri" w:cs="Calibri"/>
                <w:color w:val="000000" w:themeColor="text1"/>
              </w:rPr>
              <w:t>,</w:t>
            </w:r>
          </w:p>
          <w:p w:rsidR="00A14553" w:rsidRPr="007B6BF2" w:rsidRDefault="00A14553" w:rsidP="00A14553">
            <w:pPr>
              <w:rPr>
                <w:rFonts w:ascii="Calibri" w:hAnsi="Calibri" w:cs="Calibri"/>
                <w:color w:val="000000" w:themeColor="text1"/>
              </w:rPr>
            </w:pPr>
            <w:r w:rsidRPr="007B6BF2">
              <w:rPr>
                <w:rFonts w:ascii="Calibri" w:hAnsi="Calibri" w:cs="Calibri"/>
                <w:color w:val="000000" w:themeColor="text1"/>
              </w:rPr>
              <w:t>c)</w:t>
            </w:r>
            <w:r w:rsidRPr="007B6BF2">
              <w:rPr>
                <w:rFonts w:ascii="Calibri" w:hAnsi="Calibri" w:cs="Calibri"/>
                <w:color w:val="000000" w:themeColor="text1"/>
              </w:rPr>
              <w:tab/>
              <w:t xml:space="preserve">Lk-1/5 és Lk-2/3 építési </w:t>
            </w:r>
            <w:proofErr w:type="spellStart"/>
            <w:r w:rsidRPr="007B6BF2">
              <w:rPr>
                <w:rFonts w:ascii="Calibri" w:hAnsi="Calibri" w:cs="Calibri"/>
                <w:color w:val="000000" w:themeColor="text1"/>
              </w:rPr>
              <w:t>alövezetek</w:t>
            </w:r>
            <w:proofErr w:type="spellEnd"/>
            <w:r w:rsidRPr="007B6BF2">
              <w:rPr>
                <w:rFonts w:ascii="Calibri" w:hAnsi="Calibri" w:cs="Calibri"/>
                <w:color w:val="000000" w:themeColor="text1"/>
              </w:rPr>
              <w:t>,</w:t>
            </w:r>
          </w:p>
          <w:p w:rsidR="00A14553" w:rsidRPr="007B6BF2" w:rsidRDefault="00A14553" w:rsidP="00A14553">
            <w:pPr>
              <w:rPr>
                <w:rFonts w:ascii="Calibri" w:hAnsi="Calibri" w:cs="Calibri"/>
                <w:color w:val="000000" w:themeColor="text1"/>
              </w:rPr>
            </w:pPr>
            <w:r w:rsidRPr="007B6BF2">
              <w:rPr>
                <w:rFonts w:ascii="Calibri" w:hAnsi="Calibri" w:cs="Calibri"/>
                <w:color w:val="000000" w:themeColor="text1"/>
              </w:rPr>
              <w:t>d)</w:t>
            </w:r>
            <w:r w:rsidRPr="007B6BF2">
              <w:rPr>
                <w:rFonts w:ascii="Calibri" w:hAnsi="Calibri" w:cs="Calibri"/>
                <w:color w:val="000000" w:themeColor="text1"/>
              </w:rPr>
              <w:tab/>
              <w:t xml:space="preserve">Lk-1/2, Lk-1/4, Lk-2/4 és Lk-2/6 építési </w:t>
            </w:r>
            <w:proofErr w:type="spellStart"/>
            <w:r w:rsidRPr="007B6BF2">
              <w:rPr>
                <w:rFonts w:ascii="Calibri" w:hAnsi="Calibri" w:cs="Calibri"/>
                <w:color w:val="000000" w:themeColor="text1"/>
              </w:rPr>
              <w:t>alövezetek</w:t>
            </w:r>
            <w:proofErr w:type="spellEnd"/>
            <w:r w:rsidRPr="007B6BF2">
              <w:rPr>
                <w:rFonts w:ascii="Calibri" w:hAnsi="Calibri" w:cs="Calibri"/>
                <w:color w:val="000000" w:themeColor="text1"/>
              </w:rPr>
              <w:t>,</w:t>
            </w:r>
          </w:p>
          <w:p w:rsidR="00A14553" w:rsidRPr="007B6BF2" w:rsidRDefault="00A14553" w:rsidP="00A14553">
            <w:pPr>
              <w:rPr>
                <w:rFonts w:ascii="Calibri" w:hAnsi="Calibri" w:cs="Calibri"/>
                <w:color w:val="000000" w:themeColor="text1"/>
              </w:rPr>
            </w:pPr>
            <w:r w:rsidRPr="007B6BF2">
              <w:rPr>
                <w:rFonts w:ascii="Calibri" w:hAnsi="Calibri" w:cs="Calibri"/>
                <w:color w:val="000000" w:themeColor="text1"/>
              </w:rPr>
              <w:t>e)</w:t>
            </w:r>
            <w:r w:rsidRPr="007B6BF2">
              <w:rPr>
                <w:rFonts w:ascii="Calibri" w:hAnsi="Calibri" w:cs="Calibri"/>
                <w:color w:val="000000" w:themeColor="text1"/>
              </w:rPr>
              <w:tab/>
              <w:t xml:space="preserve">Lk-1/1, Lk-1/6, Lk-1/12, Lk-2/1, Lk-2/5 és Lk-2/10 építési </w:t>
            </w:r>
            <w:proofErr w:type="spellStart"/>
            <w:r w:rsidRPr="007B6BF2">
              <w:rPr>
                <w:rFonts w:ascii="Calibri" w:hAnsi="Calibri" w:cs="Calibri"/>
                <w:color w:val="000000" w:themeColor="text1"/>
              </w:rPr>
              <w:t>alövezetek</w:t>
            </w:r>
            <w:proofErr w:type="spellEnd"/>
            <w:r w:rsidRPr="007B6BF2">
              <w:rPr>
                <w:rFonts w:ascii="Calibri" w:hAnsi="Calibri" w:cs="Calibri"/>
                <w:color w:val="000000" w:themeColor="text1"/>
              </w:rPr>
              <w:t>.</w:t>
            </w:r>
          </w:p>
          <w:p w:rsidR="00A14553" w:rsidRPr="007B6BF2" w:rsidRDefault="00A14553" w:rsidP="00A14553">
            <w:pPr>
              <w:pStyle w:val="bekezds"/>
              <w:ind w:firstLine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6BF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(5) A lakásszám engedményes értékének igénybevételére irányuló városrendezési megállapodás megkötését megelőzően lakásszám környezeti vizsgálat szükséges, melynek során az érintett ingatlan telekhatár vonalaitól mért 50 m szélességű sávban, teljesen vagy részben elhelyezkedő telkeken található lakások számát kell vizsgálni, amelyből az érintett telket figyelmen kívül kell hagyni. A kérelmezett lakásszám engedményes értékeihez tartozó támogatási összegeket az 1. melléklet szerint úgy kell figyelembe venni, hogy az 50 m szélességű sávban elhelyezkedő egy lakást tartalmazó telkek száma az összes vizsgált telek darabszámához képest:</w:t>
            </w:r>
          </w:p>
          <w:p w:rsidR="00A14553" w:rsidRPr="007B6BF2" w:rsidRDefault="00A14553" w:rsidP="00A14553">
            <w:pPr>
              <w:pStyle w:val="bekezds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6BF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esetben a 0 % felett - 20 %-ot elérő mértékű,</w:t>
            </w:r>
          </w:p>
          <w:p w:rsidR="00A14553" w:rsidRPr="007B6BF2" w:rsidRDefault="00A14553" w:rsidP="00A14553">
            <w:pPr>
              <w:pStyle w:val="bekezds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6BF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esetben a 20 % felett - 40 %-ot elérő mértékű,</w:t>
            </w:r>
          </w:p>
          <w:p w:rsidR="00A14553" w:rsidRPr="007B6BF2" w:rsidRDefault="00A14553" w:rsidP="00A14553">
            <w:pPr>
              <w:pStyle w:val="bekezds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6BF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esetben a 40 % felett - 60 %-ot elérő mértékű,</w:t>
            </w:r>
          </w:p>
          <w:p w:rsidR="00A14553" w:rsidRPr="007B6BF2" w:rsidRDefault="00A14553" w:rsidP="00A14553">
            <w:pPr>
              <w:pStyle w:val="bekezds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6BF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esetben a 60 % felett - 80 %-ot elérő mértékű,</w:t>
            </w:r>
          </w:p>
          <w:p w:rsidR="00A14553" w:rsidRPr="007B6BF2" w:rsidRDefault="00A14553" w:rsidP="00A14553">
            <w:pPr>
              <w:pStyle w:val="bekezds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6BF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80 % feletti mértékű.</w:t>
            </w:r>
          </w:p>
          <w:p w:rsidR="007477F8" w:rsidRPr="007B6BF2" w:rsidRDefault="00A14553" w:rsidP="00A8553C">
            <w:pPr>
              <w:spacing w:after="120"/>
              <w:jc w:val="both"/>
              <w:rPr>
                <w:rFonts w:cs="Calibri"/>
                <w:color w:val="000000" w:themeColor="text1"/>
              </w:rPr>
            </w:pPr>
            <w:r w:rsidRPr="007B6BF2">
              <w:rPr>
                <w:rFonts w:ascii="Calibri" w:hAnsi="Calibri" w:cs="Calibri"/>
                <w:color w:val="000000" w:themeColor="text1"/>
              </w:rPr>
              <w:t xml:space="preserve">(6) Az (5) bekezdés szerinti lakás darabszám vizsgálat adatait a főépítész a rendelkezésére álló térinformatikai rendszer adatai alapján szolgáltatja, kivéve, ha a Beruházó </w:t>
            </w:r>
            <w:proofErr w:type="spellStart"/>
            <w:r w:rsidRPr="007B6BF2">
              <w:rPr>
                <w:rFonts w:ascii="Calibri" w:hAnsi="Calibri" w:cs="Calibri"/>
                <w:color w:val="000000" w:themeColor="text1"/>
              </w:rPr>
              <w:t>hiteltérdemlő</w:t>
            </w:r>
            <w:proofErr w:type="spellEnd"/>
            <w:r w:rsidRPr="007B6BF2">
              <w:rPr>
                <w:rFonts w:ascii="Calibri" w:hAnsi="Calibri" w:cs="Calibri"/>
                <w:color w:val="000000" w:themeColor="text1"/>
              </w:rPr>
              <w:t xml:space="preserve"> okirattal igazolja, hogy a vitatott telken a lakásszám eléri a 2 db-ot.</w:t>
            </w:r>
          </w:p>
        </w:tc>
      </w:tr>
      <w:tr w:rsidR="007B6BF2" w:rsidRPr="007B6BF2" w:rsidTr="00A04B4C">
        <w:trPr>
          <w:trHeight w:val="1226"/>
        </w:trPr>
        <w:tc>
          <w:tcPr>
            <w:tcW w:w="6997" w:type="dxa"/>
          </w:tcPr>
          <w:p w:rsidR="00A14553" w:rsidRPr="007B6BF2" w:rsidRDefault="00706F79" w:rsidP="00706F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004D41" w:rsidRPr="007B6BF2" w:rsidRDefault="00004D41" w:rsidP="00B370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6997" w:type="dxa"/>
          </w:tcPr>
          <w:p w:rsidR="00CA2B39" w:rsidRPr="007B6BF2" w:rsidRDefault="00CA2B39" w:rsidP="00CA2B39">
            <w:pPr>
              <w:pStyle w:val="bekezds"/>
              <w:ind w:firstLine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6BF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(2a) A főépítész a (2) bekezdés szerinti döntés előkészítéshez adandó támogató szakmai véleményének alapfeltétele, hogy a kérelem feleljen meg:</w:t>
            </w:r>
          </w:p>
          <w:p w:rsidR="00CA2B39" w:rsidRPr="007B6BF2" w:rsidRDefault="00CA2B39" w:rsidP="00CA2B39">
            <w:pPr>
              <w:pStyle w:val="bekezds"/>
              <w:ind w:left="720" w:firstLine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6BF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a) az építési (különösen a zöldfelületre, rendeltetések kialakítására, rendeltetéshez tartozó parkolóhelyek biztosítására vonatkozó) előírásoknak,</w:t>
            </w:r>
          </w:p>
          <w:p w:rsidR="00CA2B39" w:rsidRPr="007B6BF2" w:rsidRDefault="00CA2B39" w:rsidP="00CA2B39">
            <w:pPr>
              <w:pStyle w:val="bekezds"/>
              <w:ind w:left="720" w:firstLine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6BF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b) a városképi követelményeknek</w:t>
            </w:r>
          </w:p>
          <w:p w:rsidR="00004D41" w:rsidRPr="00706F79" w:rsidRDefault="00CA2B39" w:rsidP="00706F79">
            <w:pPr>
              <w:pStyle w:val="bekezds"/>
              <w:ind w:left="720" w:firstLine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B6BF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c) az 1. melléklet szabályainak. </w:t>
            </w:r>
          </w:p>
        </w:tc>
      </w:tr>
      <w:tr w:rsidR="00706F79" w:rsidRPr="007B6BF2" w:rsidTr="00A04B4C">
        <w:trPr>
          <w:trHeight w:val="1226"/>
        </w:trPr>
        <w:tc>
          <w:tcPr>
            <w:tcW w:w="6997" w:type="dxa"/>
          </w:tcPr>
          <w:p w:rsidR="00706F79" w:rsidRPr="00511BC0" w:rsidRDefault="00FE399C" w:rsidP="00FE399C">
            <w:pPr>
              <w:keepNext/>
              <w:suppressAutoHyphens/>
              <w:spacing w:after="120"/>
              <w:outlineLvl w:val="2"/>
              <w:rPr>
                <w:rFonts w:cs="Times New Roman"/>
                <w:b/>
              </w:rPr>
            </w:pPr>
            <w:r w:rsidRPr="00FE399C">
              <w:rPr>
                <w:rFonts w:cs="Times New Roman"/>
                <w:b/>
              </w:rPr>
              <w:drawing>
                <wp:inline distT="0" distB="0" distL="0" distR="0" wp14:anchorId="44B8E838" wp14:editId="1F0144A1">
                  <wp:extent cx="4038600" cy="576072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</w:tcPr>
          <w:p w:rsidR="00706F79" w:rsidRDefault="00FE399C" w:rsidP="00FE399C">
            <w:pPr>
              <w:keepNext/>
              <w:suppressAutoHyphens/>
              <w:spacing w:after="120"/>
              <w:outlineLvl w:val="2"/>
              <w:rPr>
                <w:rFonts w:cs="Times New Roman"/>
                <w:b/>
              </w:rPr>
            </w:pPr>
            <w:r w:rsidRPr="00FE399C">
              <w:rPr>
                <w:rFonts w:cs="Times New Roman"/>
                <w:b/>
              </w:rPr>
              <w:drawing>
                <wp:inline distT="0" distB="0" distL="0" distR="0" wp14:anchorId="2B14EB12" wp14:editId="35CE1463">
                  <wp:extent cx="3788410" cy="5760720"/>
                  <wp:effectExtent l="0" t="0" r="254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8410" cy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399C" w:rsidRDefault="00FE399C" w:rsidP="00FE399C">
            <w:pPr>
              <w:keepNext/>
              <w:suppressAutoHyphens/>
              <w:spacing w:after="120"/>
              <w:outlineLvl w:val="2"/>
              <w:rPr>
                <w:rFonts w:cs="Times New Roman"/>
                <w:b/>
              </w:rPr>
            </w:pPr>
            <w:r w:rsidRPr="00FE399C">
              <w:rPr>
                <w:rFonts w:cs="Times New Roman"/>
                <w:b/>
              </w:rPr>
              <w:drawing>
                <wp:inline distT="0" distB="0" distL="0" distR="0" wp14:anchorId="056793E4" wp14:editId="705DEC85">
                  <wp:extent cx="3609340" cy="5760720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340" cy="576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399C" w:rsidRDefault="00FE399C" w:rsidP="00FE399C">
            <w:pPr>
              <w:keepNext/>
              <w:suppressAutoHyphens/>
              <w:spacing w:after="120"/>
              <w:outlineLvl w:val="2"/>
              <w:rPr>
                <w:rFonts w:cs="Times New Roman"/>
                <w:b/>
              </w:rPr>
            </w:pPr>
            <w:r w:rsidRPr="00FE399C">
              <w:rPr>
                <w:rFonts w:cs="Times New Roman"/>
                <w:b/>
              </w:rPr>
              <w:drawing>
                <wp:inline distT="0" distB="0" distL="0" distR="0" wp14:anchorId="53153FAD" wp14:editId="2EA84F58">
                  <wp:extent cx="3639058" cy="5725324"/>
                  <wp:effectExtent l="0" t="0" r="0" b="889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9058" cy="5725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399C" w:rsidRPr="00511BC0" w:rsidRDefault="00FE399C" w:rsidP="00FE399C">
            <w:pPr>
              <w:keepNext/>
              <w:suppressAutoHyphens/>
              <w:spacing w:after="120"/>
              <w:outlineLvl w:val="2"/>
              <w:rPr>
                <w:rFonts w:cs="Times New Roman"/>
                <w:b/>
              </w:rPr>
            </w:pPr>
            <w:r w:rsidRPr="00FE399C">
              <w:rPr>
                <w:rFonts w:cs="Times New Roman"/>
                <w:b/>
              </w:rPr>
              <w:drawing>
                <wp:inline distT="0" distB="0" distL="0" distR="0" wp14:anchorId="78986880" wp14:editId="0604CCD6">
                  <wp:extent cx="3620005" cy="3791479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05" cy="379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5223F0" w:rsidRPr="007B6BF2" w:rsidRDefault="005223F0" w:rsidP="00A04B4C">
      <w:pPr>
        <w:rPr>
          <w:color w:val="000000" w:themeColor="text1"/>
        </w:rPr>
      </w:pPr>
    </w:p>
    <w:sectPr w:rsidR="005223F0" w:rsidRPr="007B6BF2" w:rsidSect="005223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B6155"/>
    <w:multiLevelType w:val="hybridMultilevel"/>
    <w:tmpl w:val="18AA9A82"/>
    <w:name w:val="WW8Num12"/>
    <w:lvl w:ilvl="0" w:tplc="E304D0D4">
      <w:start w:val="1"/>
      <w:numFmt w:val="decimal"/>
      <w:pStyle w:val="Cmsor3"/>
      <w:suff w:val="space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E30E1"/>
    <w:multiLevelType w:val="hybridMultilevel"/>
    <w:tmpl w:val="CF5EE9FE"/>
    <w:lvl w:ilvl="0" w:tplc="CDB88C2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0468B5"/>
    <w:multiLevelType w:val="hybridMultilevel"/>
    <w:tmpl w:val="85A80E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92AC9"/>
    <w:multiLevelType w:val="hybridMultilevel"/>
    <w:tmpl w:val="257C8A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B6A15"/>
    <w:multiLevelType w:val="hybridMultilevel"/>
    <w:tmpl w:val="FD266850"/>
    <w:lvl w:ilvl="0" w:tplc="CDB88C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86C92"/>
    <w:multiLevelType w:val="hybridMultilevel"/>
    <w:tmpl w:val="EFC02222"/>
    <w:lvl w:ilvl="0" w:tplc="CDB88C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57C2D"/>
    <w:multiLevelType w:val="hybridMultilevel"/>
    <w:tmpl w:val="08DC2D20"/>
    <w:lvl w:ilvl="0" w:tplc="D43A3BDA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67E5C"/>
    <w:multiLevelType w:val="hybridMultilevel"/>
    <w:tmpl w:val="0A6063DC"/>
    <w:lvl w:ilvl="0" w:tplc="CDB88C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23101"/>
    <w:multiLevelType w:val="hybridMultilevel"/>
    <w:tmpl w:val="4C0AA5B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825872"/>
    <w:multiLevelType w:val="hybridMultilevel"/>
    <w:tmpl w:val="0644A110"/>
    <w:lvl w:ilvl="0" w:tplc="13F0406E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4" w:hanging="360"/>
      </w:pPr>
    </w:lvl>
    <w:lvl w:ilvl="2" w:tplc="040E001B" w:tentative="1">
      <w:start w:val="1"/>
      <w:numFmt w:val="lowerRoman"/>
      <w:lvlText w:val="%3."/>
      <w:lvlJc w:val="right"/>
      <w:pPr>
        <w:ind w:left="2504" w:hanging="180"/>
      </w:pPr>
    </w:lvl>
    <w:lvl w:ilvl="3" w:tplc="040E000F" w:tentative="1">
      <w:start w:val="1"/>
      <w:numFmt w:val="decimal"/>
      <w:lvlText w:val="%4."/>
      <w:lvlJc w:val="left"/>
      <w:pPr>
        <w:ind w:left="3224" w:hanging="360"/>
      </w:pPr>
    </w:lvl>
    <w:lvl w:ilvl="4" w:tplc="040E0019" w:tentative="1">
      <w:start w:val="1"/>
      <w:numFmt w:val="lowerLetter"/>
      <w:lvlText w:val="%5."/>
      <w:lvlJc w:val="left"/>
      <w:pPr>
        <w:ind w:left="3944" w:hanging="360"/>
      </w:pPr>
    </w:lvl>
    <w:lvl w:ilvl="5" w:tplc="040E001B" w:tentative="1">
      <w:start w:val="1"/>
      <w:numFmt w:val="lowerRoman"/>
      <w:lvlText w:val="%6."/>
      <w:lvlJc w:val="right"/>
      <w:pPr>
        <w:ind w:left="4664" w:hanging="180"/>
      </w:pPr>
    </w:lvl>
    <w:lvl w:ilvl="6" w:tplc="040E000F" w:tentative="1">
      <w:start w:val="1"/>
      <w:numFmt w:val="decimal"/>
      <w:lvlText w:val="%7."/>
      <w:lvlJc w:val="left"/>
      <w:pPr>
        <w:ind w:left="5384" w:hanging="360"/>
      </w:pPr>
    </w:lvl>
    <w:lvl w:ilvl="7" w:tplc="040E0019" w:tentative="1">
      <w:start w:val="1"/>
      <w:numFmt w:val="lowerLetter"/>
      <w:lvlText w:val="%8."/>
      <w:lvlJc w:val="left"/>
      <w:pPr>
        <w:ind w:left="6104" w:hanging="360"/>
      </w:pPr>
    </w:lvl>
    <w:lvl w:ilvl="8" w:tplc="040E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0" w15:restartNumberingAfterBreak="0">
    <w:nsid w:val="7EBF39FF"/>
    <w:multiLevelType w:val="hybridMultilevel"/>
    <w:tmpl w:val="6C1AB2EC"/>
    <w:lvl w:ilvl="0" w:tplc="CDB88C2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A0"/>
    <w:rsid w:val="00004D41"/>
    <w:rsid w:val="0001659C"/>
    <w:rsid w:val="00020F75"/>
    <w:rsid w:val="00046FEE"/>
    <w:rsid w:val="000470B0"/>
    <w:rsid w:val="000B7882"/>
    <w:rsid w:val="000C1E33"/>
    <w:rsid w:val="00106F0F"/>
    <w:rsid w:val="001107F0"/>
    <w:rsid w:val="0011477C"/>
    <w:rsid w:val="001209A6"/>
    <w:rsid w:val="0012787A"/>
    <w:rsid w:val="001A1E10"/>
    <w:rsid w:val="001A3426"/>
    <w:rsid w:val="001B17B7"/>
    <w:rsid w:val="001D6223"/>
    <w:rsid w:val="00223EED"/>
    <w:rsid w:val="00267557"/>
    <w:rsid w:val="002742D0"/>
    <w:rsid w:val="00284DEB"/>
    <w:rsid w:val="002A55A3"/>
    <w:rsid w:val="002B6E16"/>
    <w:rsid w:val="002C24F2"/>
    <w:rsid w:val="002C71EF"/>
    <w:rsid w:val="002D029B"/>
    <w:rsid w:val="002F257A"/>
    <w:rsid w:val="003158BF"/>
    <w:rsid w:val="00336AF1"/>
    <w:rsid w:val="00361575"/>
    <w:rsid w:val="00364329"/>
    <w:rsid w:val="00382DEB"/>
    <w:rsid w:val="003846F2"/>
    <w:rsid w:val="003A30D7"/>
    <w:rsid w:val="003A6BB7"/>
    <w:rsid w:val="003B7CB8"/>
    <w:rsid w:val="003E5567"/>
    <w:rsid w:val="0040423F"/>
    <w:rsid w:val="004525FA"/>
    <w:rsid w:val="004636C2"/>
    <w:rsid w:val="0047480B"/>
    <w:rsid w:val="00493F31"/>
    <w:rsid w:val="004C53F5"/>
    <w:rsid w:val="004D08F1"/>
    <w:rsid w:val="004D73F3"/>
    <w:rsid w:val="004E660B"/>
    <w:rsid w:val="004F56AD"/>
    <w:rsid w:val="0050793D"/>
    <w:rsid w:val="00511170"/>
    <w:rsid w:val="005223F0"/>
    <w:rsid w:val="005840E5"/>
    <w:rsid w:val="00584B08"/>
    <w:rsid w:val="005F01E6"/>
    <w:rsid w:val="00604411"/>
    <w:rsid w:val="00625C19"/>
    <w:rsid w:val="00694954"/>
    <w:rsid w:val="006B0425"/>
    <w:rsid w:val="006B137E"/>
    <w:rsid w:val="006D5692"/>
    <w:rsid w:val="006D6B46"/>
    <w:rsid w:val="006F71EB"/>
    <w:rsid w:val="00706F79"/>
    <w:rsid w:val="007477F8"/>
    <w:rsid w:val="00757757"/>
    <w:rsid w:val="00760007"/>
    <w:rsid w:val="00771859"/>
    <w:rsid w:val="007856E4"/>
    <w:rsid w:val="007B6BF2"/>
    <w:rsid w:val="007C2BD7"/>
    <w:rsid w:val="008057D6"/>
    <w:rsid w:val="00806B15"/>
    <w:rsid w:val="00842048"/>
    <w:rsid w:val="0086090D"/>
    <w:rsid w:val="00862803"/>
    <w:rsid w:val="00896534"/>
    <w:rsid w:val="008A39E0"/>
    <w:rsid w:val="008A50C5"/>
    <w:rsid w:val="008D3B25"/>
    <w:rsid w:val="008F02E7"/>
    <w:rsid w:val="008F7064"/>
    <w:rsid w:val="009002E6"/>
    <w:rsid w:val="009127EF"/>
    <w:rsid w:val="00945F5A"/>
    <w:rsid w:val="009B00B0"/>
    <w:rsid w:val="009C3CAD"/>
    <w:rsid w:val="009D56C9"/>
    <w:rsid w:val="009E1336"/>
    <w:rsid w:val="009E52EE"/>
    <w:rsid w:val="00A04B4C"/>
    <w:rsid w:val="00A14553"/>
    <w:rsid w:val="00A44DB9"/>
    <w:rsid w:val="00A637FA"/>
    <w:rsid w:val="00A742AA"/>
    <w:rsid w:val="00A76CDF"/>
    <w:rsid w:val="00A84716"/>
    <w:rsid w:val="00A8553C"/>
    <w:rsid w:val="00A94CC2"/>
    <w:rsid w:val="00AA0A50"/>
    <w:rsid w:val="00AA3958"/>
    <w:rsid w:val="00AC07F2"/>
    <w:rsid w:val="00AD2938"/>
    <w:rsid w:val="00B37081"/>
    <w:rsid w:val="00B41A2A"/>
    <w:rsid w:val="00B62EF7"/>
    <w:rsid w:val="00B77D13"/>
    <w:rsid w:val="00BB462C"/>
    <w:rsid w:val="00BD124D"/>
    <w:rsid w:val="00BE3554"/>
    <w:rsid w:val="00BE79F4"/>
    <w:rsid w:val="00C7384C"/>
    <w:rsid w:val="00C8297E"/>
    <w:rsid w:val="00C97E44"/>
    <w:rsid w:val="00CA2B39"/>
    <w:rsid w:val="00CD1DA0"/>
    <w:rsid w:val="00CD4B3F"/>
    <w:rsid w:val="00CF7BF8"/>
    <w:rsid w:val="00D17F5C"/>
    <w:rsid w:val="00D61022"/>
    <w:rsid w:val="00D91F1F"/>
    <w:rsid w:val="00D92FB7"/>
    <w:rsid w:val="00DA1523"/>
    <w:rsid w:val="00DA5795"/>
    <w:rsid w:val="00DA67FC"/>
    <w:rsid w:val="00DB47FE"/>
    <w:rsid w:val="00DC2FE9"/>
    <w:rsid w:val="00DD57C5"/>
    <w:rsid w:val="00E76C74"/>
    <w:rsid w:val="00EB0761"/>
    <w:rsid w:val="00EE3E28"/>
    <w:rsid w:val="00EF38C0"/>
    <w:rsid w:val="00F239BE"/>
    <w:rsid w:val="00F23FEF"/>
    <w:rsid w:val="00F42A70"/>
    <w:rsid w:val="00F54ADE"/>
    <w:rsid w:val="00F867F1"/>
    <w:rsid w:val="00FB61F0"/>
    <w:rsid w:val="00FC3A79"/>
    <w:rsid w:val="00FC6335"/>
    <w:rsid w:val="00FE399C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2EBF4-EB2F-4199-9FE1-3D5369BC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aliases w:val="ALCÍM"/>
    <w:basedOn w:val="Norml"/>
    <w:next w:val="Szvegtrzs"/>
    <w:link w:val="Cmsor3Char"/>
    <w:uiPriority w:val="9"/>
    <w:semiHidden/>
    <w:unhideWhenUsed/>
    <w:qFormat/>
    <w:rsid w:val="00604411"/>
    <w:pPr>
      <w:keepNext/>
      <w:numPr>
        <w:numId w:val="10"/>
      </w:numPr>
      <w:suppressAutoHyphens/>
      <w:spacing w:before="120" w:after="0" w:line="240" w:lineRule="auto"/>
      <w:ind w:left="0" w:firstLine="0"/>
      <w:jc w:val="center"/>
      <w:outlineLvl w:val="2"/>
    </w:pPr>
    <w:rPr>
      <w:rFonts w:ascii="Times New Roman" w:eastAsia="SimSun" w:hAnsi="Times New Roman" w:cs="Times New Roman"/>
      <w:i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2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0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4D4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67557"/>
    <w:pPr>
      <w:ind w:left="720"/>
      <w:contextualSpacing/>
    </w:pPr>
  </w:style>
  <w:style w:type="character" w:customStyle="1" w:styleId="jel">
    <w:name w:val="jel"/>
    <w:basedOn w:val="Bekezdsalapbettpusa"/>
    <w:rsid w:val="00DB47FE"/>
  </w:style>
  <w:style w:type="character" w:customStyle="1" w:styleId="szakasz-jel">
    <w:name w:val="szakasz-jel"/>
    <w:basedOn w:val="Bekezdsalapbettpusa"/>
    <w:rsid w:val="00DB47FE"/>
  </w:style>
  <w:style w:type="character" w:customStyle="1" w:styleId="Cmsor3Char">
    <w:name w:val="Címsor 3 Char"/>
    <w:aliases w:val="ALCÍM Char"/>
    <w:basedOn w:val="Bekezdsalapbettpusa"/>
    <w:link w:val="Cmsor3"/>
    <w:uiPriority w:val="9"/>
    <w:semiHidden/>
    <w:rsid w:val="00604411"/>
    <w:rPr>
      <w:rFonts w:ascii="Times New Roman" w:eastAsia="SimSun" w:hAnsi="Times New Roman" w:cs="Times New Roman"/>
      <w:i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locked/>
    <w:rsid w:val="00604411"/>
    <w:rPr>
      <w:rFonts w:ascii="SimSun" w:eastAsia="SimSun" w:hAnsi="SimSun" w:cs="Times New Roman"/>
      <w:kern w:val="2"/>
      <w:sz w:val="24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604411"/>
    <w:pPr>
      <w:suppressAutoHyphens/>
      <w:spacing w:before="20" w:after="20" w:line="240" w:lineRule="auto"/>
      <w:ind w:firstLine="284"/>
      <w:jc w:val="both"/>
    </w:pPr>
    <w:rPr>
      <w:rFonts w:ascii="SimSun" w:eastAsia="SimSun" w:hAnsi="SimSu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60441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04411"/>
  </w:style>
  <w:style w:type="character" w:styleId="Hiperhivatkozs">
    <w:name w:val="Hyperlink"/>
    <w:basedOn w:val="Bekezdsalapbettpusa"/>
    <w:uiPriority w:val="99"/>
    <w:semiHidden/>
    <w:unhideWhenUsed/>
    <w:rsid w:val="00A14553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A1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7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309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9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or.njt.hu/eli/735771/r/2021/12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551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Gyöngyösi Beáta</dc:creator>
  <cp:keywords/>
  <dc:description/>
  <cp:lastModifiedBy>Fehérné Tölgyesi Ildikó</cp:lastModifiedBy>
  <cp:revision>5</cp:revision>
  <dcterms:created xsi:type="dcterms:W3CDTF">2025-07-04T10:57:00Z</dcterms:created>
  <dcterms:modified xsi:type="dcterms:W3CDTF">2025-07-07T10:07:00Z</dcterms:modified>
</cp:coreProperties>
</file>