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9023" w:type="dxa"/>
        <w:tblInd w:w="-1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72"/>
        <w:gridCol w:w="3405"/>
        <w:gridCol w:w="3346"/>
      </w:tblGrid>
      <w:tr w:rsidR="00CC32C4">
        <w:tc>
          <w:tcPr>
            <w:tcW w:w="9023" w:type="dxa"/>
            <w:gridSpan w:val="3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b/>
              </w:rPr>
            </w:pPr>
            <w:r>
              <w:rPr>
                <w:rFonts w:cs="Times New Roman"/>
                <w:b/>
                <w:szCs w:val="24"/>
              </w:rPr>
              <w:t>1.§ A településfejlesztéssel, településrendezéssel és településkép-védelemmel összefüggő partnerségi egyeztetés helyi szabályairól szóló Budapest Főváros XIV. Kerület Képviselő-testülete 8/2019 (IV. 30.) önkormányzati rendelet</w:t>
            </w:r>
          </w:p>
        </w:tc>
      </w:tr>
      <w:tr w:rsidR="00CC32C4">
        <w:tc>
          <w:tcPr>
            <w:tcW w:w="2272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r>
              <w:t>6. §</w:t>
            </w:r>
            <w:proofErr w:type="spellStart"/>
            <w:r>
              <w:t>-a</w:t>
            </w:r>
            <w:proofErr w:type="spellEnd"/>
            <w:r>
              <w:t xml:space="preserve"> helyébe a következő </w:t>
            </w:r>
            <w:r>
              <w:t>rendelkezés lép:</w:t>
            </w:r>
          </w:p>
        </w:tc>
        <w:tc>
          <w:tcPr>
            <w:tcW w:w="3405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„6. § (1) Az 5. § (4) bekezdése alapján elkészült döntési javaslatról a képviselő-testület határoz.</w:t>
            </w:r>
          </w:p>
          <w:p w:rsidR="00CC32C4" w:rsidRDefault="00B62CB2">
            <w:pPr>
              <w:spacing w:after="0" w:line="240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(2) Az (1) bekezdésben foglaltaktól eltérően a polgármester dönt a kerületi építési szabályzat tárgyalásos vagy állami főépítészi eljárásba</w:t>
            </w:r>
            <w:r>
              <w:rPr>
                <w:color w:val="808080" w:themeColor="background1" w:themeShade="80"/>
              </w:rPr>
              <w:t>n történő lefolytatása esetén a beérkezett partneri vélemények, javaslatok elfogadásáról vagy el nem fogadásáról.”</w:t>
            </w:r>
          </w:p>
        </w:tc>
        <w:tc>
          <w:tcPr>
            <w:tcW w:w="3346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„6. § (1) A 2. §</w:t>
            </w:r>
            <w:proofErr w:type="spellStart"/>
            <w:r>
              <w:rPr>
                <w:i/>
              </w:rPr>
              <w:t>-ban</w:t>
            </w:r>
            <w:proofErr w:type="spellEnd"/>
            <w:r>
              <w:rPr>
                <w:i/>
              </w:rPr>
              <w:t xml:space="preserve"> felsoroltak </w:t>
            </w:r>
            <w:bookmarkStart w:id="0" w:name="__DdeLink__3783_979765740"/>
            <w:bookmarkEnd w:id="0"/>
            <w:r>
              <w:rPr>
                <w:i/>
              </w:rPr>
              <w:t>készítésére, illetve módosítására irányuló szándékról a döntést a polgármester hozza és az elfogadásukhoz sz</w:t>
            </w:r>
            <w:r>
              <w:rPr>
                <w:i/>
              </w:rPr>
              <w:t>ükséges eljárásokat lefolytatja.</w:t>
            </w:r>
          </w:p>
          <w:p w:rsidR="00CC32C4" w:rsidRDefault="00B62CB2">
            <w:pPr>
              <w:spacing w:after="0" w:line="240" w:lineRule="auto"/>
            </w:pPr>
            <w:r>
              <w:rPr>
                <w:i/>
              </w:rPr>
              <w:t>(2) Az 5. § (5) bekezdés alapján elkészült döntési javaslatról a Gazdasági Bizottság határoz, kivéve az építési szabályzat tárgyalásos vagy állami főépítészi eljárásait, amelyek esetén a polgármester dönt.”</w:t>
            </w:r>
          </w:p>
        </w:tc>
        <w:bookmarkStart w:id="1" w:name="_GoBack"/>
        <w:bookmarkEnd w:id="1"/>
      </w:tr>
      <w:tr w:rsidR="00CC32C4">
        <w:tc>
          <w:tcPr>
            <w:tcW w:w="9023" w:type="dxa"/>
            <w:gridSpan w:val="3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2. § Zugló kerü</w:t>
            </w:r>
            <w:r>
              <w:rPr>
                <w:b/>
              </w:rPr>
              <w:t>leti építési szabályzatáról szóló Budapest Főváros XIV. Kerület Zugló Önkormányzat Képviselő-testülete 12/2019. (VI. 14.) önkormányzati rendelet:</w:t>
            </w:r>
          </w:p>
        </w:tc>
      </w:tr>
      <w:tr w:rsidR="00CC32C4">
        <w:tc>
          <w:tcPr>
            <w:tcW w:w="2272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r>
              <w:t>a) 39. § (1) bekezdésének helyébe a következő rendelkezés lép:</w:t>
            </w:r>
          </w:p>
        </w:tc>
        <w:tc>
          <w:tcPr>
            <w:tcW w:w="3405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„(1) Erkély és zárterkély csak a legalább 18,0</w:t>
            </w:r>
            <w:r>
              <w:rPr>
                <w:color w:val="808080" w:themeColor="background1" w:themeShade="80"/>
              </w:rPr>
              <w:t xml:space="preserve"> méter szélességgel szabályozott közterület vagy magánút területébe nyúlhat be.”</w:t>
            </w:r>
          </w:p>
        </w:tc>
        <w:tc>
          <w:tcPr>
            <w:tcW w:w="3346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„(1) Erkély és zárterkély csak a legalább 18 méter szélességgel szabályozott közterület vagy magánút területébe nyúlhat be, a (2) bekezdésben részletezett feltételek szerint.”</w:t>
            </w:r>
          </w:p>
        </w:tc>
      </w:tr>
      <w:tr w:rsidR="00CC32C4">
        <w:tc>
          <w:tcPr>
            <w:tcW w:w="2272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r>
              <w:t>b) 50. § (2) bekezdésének helyébe a következő rendelkezés lép:</w:t>
            </w:r>
          </w:p>
        </w:tc>
        <w:tc>
          <w:tcPr>
            <w:tcW w:w="3405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„(2) Lakószoba és a szállás jellegű önálló rendeltetési egység vendégszobája pinceszinten nem alakítható ki.”</w:t>
            </w:r>
          </w:p>
        </w:tc>
        <w:tc>
          <w:tcPr>
            <w:tcW w:w="3346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„(2) A lakó és a szállás jellegű rendeltetés huzamos tartózkodásra szolgáló </w:t>
            </w:r>
            <w:r>
              <w:rPr>
                <w:i/>
              </w:rPr>
              <w:t>helyisége terepszint alatt nem alakítható ki.”</w:t>
            </w:r>
          </w:p>
        </w:tc>
      </w:tr>
      <w:tr w:rsidR="00CC32C4">
        <w:tc>
          <w:tcPr>
            <w:tcW w:w="2272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r>
              <w:t>c) 53. §</w:t>
            </w:r>
            <w:proofErr w:type="spellStart"/>
            <w:r>
              <w:t>-a</w:t>
            </w:r>
            <w:proofErr w:type="spellEnd"/>
            <w:r>
              <w:t xml:space="preserve"> kiegészül a következő (7) bekezdéssel:</w:t>
            </w:r>
          </w:p>
        </w:tc>
        <w:tc>
          <w:tcPr>
            <w:tcW w:w="6751" w:type="dxa"/>
            <w:gridSpan w:val="2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„(7) A 32553. helyrajzi számú ingatlanon az 1. mellékleten jelölt építési helyet nem kell figyelembe venni.”</w:t>
            </w:r>
          </w:p>
        </w:tc>
      </w:tr>
      <w:tr w:rsidR="00CC32C4">
        <w:tc>
          <w:tcPr>
            <w:tcW w:w="2272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r>
              <w:t>d) 71. §</w:t>
            </w:r>
            <w:proofErr w:type="spellStart"/>
            <w:r>
              <w:t>-a</w:t>
            </w:r>
            <w:proofErr w:type="spellEnd"/>
            <w:r>
              <w:t xml:space="preserve"> kiegészül a következő (5) bekezdéssel</w:t>
            </w:r>
            <w:r>
              <w:t>:</w:t>
            </w:r>
          </w:p>
        </w:tc>
        <w:tc>
          <w:tcPr>
            <w:tcW w:w="6751" w:type="dxa"/>
            <w:gridSpan w:val="2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„(5) A 31116 helyrajzi számú ingatlanon az 1. mellékleten jelölt építési helyet nem kell figyelembe venni.”</w:t>
            </w:r>
          </w:p>
        </w:tc>
      </w:tr>
      <w:tr w:rsidR="00CC32C4">
        <w:tc>
          <w:tcPr>
            <w:tcW w:w="2272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r>
              <w:t>e) 93. §</w:t>
            </w:r>
            <w:proofErr w:type="spellStart"/>
            <w:r>
              <w:t>-a</w:t>
            </w:r>
            <w:proofErr w:type="spellEnd"/>
            <w:r>
              <w:t xml:space="preserve"> kiegészül a következő (3) bekezdéssel:</w:t>
            </w:r>
          </w:p>
        </w:tc>
        <w:tc>
          <w:tcPr>
            <w:tcW w:w="6751" w:type="dxa"/>
            <w:gridSpan w:val="2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„(3) A 32438 és 32437/2 helyrajzi számú ingatlanokon az 1. mellékleten jelölt építési helyet </w:t>
            </w:r>
            <w:r>
              <w:rPr>
                <w:i/>
              </w:rPr>
              <w:t>nem kell figyelembe venni.”</w:t>
            </w:r>
          </w:p>
        </w:tc>
      </w:tr>
      <w:tr w:rsidR="00CC32C4">
        <w:tc>
          <w:tcPr>
            <w:tcW w:w="2272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r>
              <w:t>f) 97. § helyébe a következő rendelkezés lép:</w:t>
            </w:r>
          </w:p>
        </w:tc>
        <w:tc>
          <w:tcPr>
            <w:tcW w:w="3405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„97. § A Vi-1/10 jelű építési övezet telkén szállás és az ehhez kapcsolódó szolgáltatás, vendéglátás, szabadidő-eltöltés, kiskereskedelem és egészségügyi rendeltetési egység helyezh</w:t>
            </w:r>
            <w:r>
              <w:rPr>
                <w:color w:val="808080" w:themeColor="background1" w:themeShade="80"/>
              </w:rPr>
              <w:t>ető el.”</w:t>
            </w:r>
          </w:p>
        </w:tc>
        <w:tc>
          <w:tcPr>
            <w:tcW w:w="3346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„97. § A Vi-1/10 jelű építési övezet telkén szállás jellegű rendeltetés és az ehhez kapcsolódó szolgáltatás, vendéglátás, kereskedelem és egészségügyi rendeltetés helyezhető el.”</w:t>
            </w:r>
          </w:p>
        </w:tc>
      </w:tr>
      <w:tr w:rsidR="00CC32C4">
        <w:tc>
          <w:tcPr>
            <w:tcW w:w="9023" w:type="dxa"/>
            <w:gridSpan w:val="3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3.§ Budapest Főváros XIV. Kerület Zugló Önkormányzat Képviselő-test</w:t>
            </w:r>
            <w:r>
              <w:rPr>
                <w:b/>
              </w:rPr>
              <w:t>ületének a Budapest Főváros XIV. Kerület Zugló Önkormányzat Képviselő-testülete szervezeti és működési szabályzatáról szóló 15/2019 (XI.7.) önkormányzati rendeletének</w:t>
            </w:r>
          </w:p>
        </w:tc>
      </w:tr>
      <w:tr w:rsidR="00CC32C4">
        <w:tc>
          <w:tcPr>
            <w:tcW w:w="2272" w:type="dxa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r>
              <w:lastRenderedPageBreak/>
              <w:t>a) 4. melléklete helyébe e rendelet 1. melléklete lép</w:t>
            </w:r>
          </w:p>
          <w:p w:rsidR="00CC32C4" w:rsidRDefault="00B62CB2">
            <w:pPr>
              <w:spacing w:after="0" w:line="240" w:lineRule="auto"/>
            </w:pPr>
            <w:r>
              <w:rPr>
                <w:i/>
              </w:rPr>
              <w:t xml:space="preserve">(a Gazdasági Bizottság döntési </w:t>
            </w:r>
            <w:r>
              <w:rPr>
                <w:i/>
              </w:rPr>
              <w:t>jogköre kiegészül 1.36. ponttal)</w:t>
            </w:r>
          </w:p>
        </w:tc>
        <w:tc>
          <w:tcPr>
            <w:tcW w:w="6751" w:type="dxa"/>
            <w:gridSpan w:val="2"/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r>
              <w:rPr>
                <w:i/>
              </w:rPr>
              <w:t>1.36. dönt a beérkezett partneri vélemények, javaslatok elfogadásáról vagy el nem fogadásáról: a koncepció, a stratégia, az építési szabályzat (kivéve a tárgyalásos és az állami főépítészi eljárásokat), a kézikönyv és a tel</w:t>
            </w:r>
            <w:r>
              <w:rPr>
                <w:i/>
              </w:rPr>
              <w:t>epülésképi rendelet készítésének és módosításának az egyeztetési eljárásában. / A településfejlesztéssel, településrendezéssel és településkép-védelemmel összefüggő partnerségi egyeztetés helyi szabályairól szóló Budapest Főváros XIV. Kerület Képviselő-tes</w:t>
            </w:r>
            <w:r>
              <w:rPr>
                <w:i/>
              </w:rPr>
              <w:t>tülete 8/2019 (IV. 30.) önkormányzati rendelet 6. § (2) bekezdés.</w:t>
            </w:r>
          </w:p>
        </w:tc>
      </w:tr>
      <w:tr w:rsidR="00CC32C4">
        <w:tc>
          <w:tcPr>
            <w:tcW w:w="2272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r>
              <w:t>b) 7. melléklete helyébe e rendelet 2. melléklete lép</w:t>
            </w:r>
          </w:p>
          <w:p w:rsidR="00CC32C4" w:rsidRDefault="00B62CB2">
            <w:pPr>
              <w:spacing w:after="0" w:line="240" w:lineRule="auto"/>
            </w:pPr>
            <w:r>
              <w:rPr>
                <w:i/>
              </w:rPr>
              <w:t>(a polgármester döntési jogköre kiegészül 1.72. ponttal)</w:t>
            </w:r>
          </w:p>
        </w:tc>
        <w:tc>
          <w:tcPr>
            <w:tcW w:w="6751" w:type="dxa"/>
            <w:gridSpan w:val="2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CC32C4" w:rsidRDefault="00B62CB2">
            <w:pPr>
              <w:spacing w:after="0" w:line="240" w:lineRule="auto"/>
            </w:pPr>
            <w:bookmarkStart w:id="2" w:name="__DdeLink__3895_979765740"/>
            <w:r>
              <w:rPr>
                <w:i/>
              </w:rPr>
              <w:t xml:space="preserve">1.72. településrendezési eszközök, arculati kézikönyv, településképi rendelet </w:t>
            </w:r>
            <w:r>
              <w:rPr>
                <w:i/>
              </w:rPr>
              <w:t>készítésére, illetve módosítására irányuló szándékról a dönt és az elfogadásukhoz szükséges eljárásokat lefolytatja.</w:t>
            </w:r>
            <w:bookmarkEnd w:id="2"/>
            <w:r>
              <w:rPr>
                <w:i/>
              </w:rPr>
              <w:t xml:space="preserve"> / A településfejlesztéssel, településrendezéssel és településkép-védelemmel összefüggő partnerségi egyeztetés helyi szabályairól szóló Buda</w:t>
            </w:r>
            <w:r>
              <w:rPr>
                <w:i/>
              </w:rPr>
              <w:t>pest Főváros XIV. Kerület Képviselő-testülete 8/2019 (IV. 30.) önkormányzati rendelet 6. § (1) bekezdés.</w:t>
            </w:r>
          </w:p>
        </w:tc>
      </w:tr>
    </w:tbl>
    <w:p w:rsidR="00CC32C4" w:rsidRDefault="00CC32C4"/>
    <w:sectPr w:rsidR="00CC32C4">
      <w:headerReference w:type="first" r:id="rId6"/>
      <w:pgSz w:w="11906" w:h="16838"/>
      <w:pgMar w:top="1440" w:right="1440" w:bottom="1440" w:left="1440" w:header="708" w:footer="0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62CB2">
      <w:pPr>
        <w:spacing w:after="0" w:line="240" w:lineRule="auto"/>
      </w:pPr>
      <w:r>
        <w:separator/>
      </w:r>
    </w:p>
  </w:endnote>
  <w:endnote w:type="continuationSeparator" w:id="0">
    <w:p w:rsidR="00000000" w:rsidRDefault="00B62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62CB2">
      <w:pPr>
        <w:spacing w:after="0" w:line="240" w:lineRule="auto"/>
      </w:pPr>
      <w:r>
        <w:separator/>
      </w:r>
    </w:p>
  </w:footnote>
  <w:footnote w:type="continuationSeparator" w:id="0">
    <w:p w:rsidR="00000000" w:rsidRDefault="00B62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2C4" w:rsidRDefault="00B62CB2">
    <w:pPr>
      <w:pStyle w:val="lfej"/>
      <w:jc w:val="right"/>
    </w:pPr>
    <w:r>
      <w:t>2</w:t>
    </w:r>
    <w:r>
      <w:t>. melléklet</w:t>
    </w:r>
  </w:p>
  <w:p w:rsidR="00CC32C4" w:rsidRDefault="00CC32C4">
    <w:pPr>
      <w:pStyle w:val="lfej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C4"/>
    <w:rsid w:val="00B62CB2"/>
    <w:rsid w:val="00CC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FD170-E18F-418C-B234-D43DEBAD4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9" w:lineRule="auto"/>
    </w:pPr>
    <w:rPr>
      <w:color w:val="00000A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uiPriority w:val="99"/>
    <w:qFormat/>
    <w:rsid w:val="008D5BEB"/>
  </w:style>
  <w:style w:type="character" w:customStyle="1" w:styleId="llbChar">
    <w:name w:val="Élőláb Char"/>
    <w:basedOn w:val="Bekezdsalapbettpusa"/>
    <w:uiPriority w:val="99"/>
    <w:qFormat/>
    <w:rsid w:val="008D5BEB"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lfej">
    <w:name w:val="header"/>
    <w:basedOn w:val="Norml"/>
    <w:uiPriority w:val="99"/>
    <w:unhideWhenUsed/>
    <w:rsid w:val="008D5BEB"/>
    <w:pPr>
      <w:tabs>
        <w:tab w:val="center" w:pos="4513"/>
        <w:tab w:val="right" w:pos="9026"/>
      </w:tabs>
      <w:spacing w:after="0" w:line="240" w:lineRule="auto"/>
    </w:pPr>
  </w:style>
  <w:style w:type="paragraph" w:styleId="llb">
    <w:name w:val="footer"/>
    <w:basedOn w:val="Norml"/>
    <w:uiPriority w:val="99"/>
    <w:unhideWhenUsed/>
    <w:rsid w:val="008D5BEB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Tblzattartalom">
    <w:name w:val="Táblázattartalom"/>
    <w:basedOn w:val="Norml"/>
    <w:qFormat/>
  </w:style>
  <w:style w:type="paragraph" w:customStyle="1" w:styleId="Tblzatfejlc">
    <w:name w:val="Táblázatfejléc"/>
    <w:basedOn w:val="Tblzattartalom"/>
    <w:qFormat/>
  </w:style>
  <w:style w:type="table" w:styleId="Rcsostblzat">
    <w:name w:val="Table Grid"/>
    <w:basedOn w:val="Normltblzat"/>
    <w:uiPriority w:val="39"/>
    <w:rsid w:val="00532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530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Dienes János</dc:creator>
  <dc:description/>
  <cp:lastModifiedBy>Fekete Istvánné</cp:lastModifiedBy>
  <cp:revision>24</cp:revision>
  <dcterms:created xsi:type="dcterms:W3CDTF">2020-08-15T16:48:00Z</dcterms:created>
  <dcterms:modified xsi:type="dcterms:W3CDTF">2020-08-19T13:21:00Z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