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248F00F0" Type="http://schemas.openxmlformats.org/officeDocument/2006/relationships/officeDocument" Target="/word/document.xml" /><Relationship Id="coreR248F00F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tbl>
      <w:tblPr>
        <w:tblStyle w:val="T2"/>
        <w:tblW w:w="0" w:type="auto"/>
        <w:tblLook w:val="04A0"/>
      </w:tblPr>
      <w:tblGrid/>
      <w:tr>
        <w:tc>
          <w:tcPr>
            <w:tcW w:w="9062" w:type="dxa"/>
            <w:gridSpan w:val="2"/>
            <w:tcBorders>
              <w:top w:val="nil"/>
              <w:left w:val="nil"/>
              <w:bottom w:val="nil"/>
              <w:right w:val="nil"/>
            </w:tcBorders>
          </w:tcPr>
          <w:p>
            <w:pPr>
              <w:jc w:val="center"/>
              <w:rPr>
                <w:rFonts w:ascii="Times New Roman" w:hAnsi="Times New Roman"/>
                <w:b w:val="1"/>
                <w:bCs w:val="1"/>
                <w:sz w:val="24"/>
                <w:szCs w:val="24"/>
              </w:rPr>
            </w:pPr>
            <w:bookmarkStart w:id="0" w:name="_GoBack"/>
            <w:bookmarkEnd w:id="0"/>
            <w:r>
              <w:rPr>
                <w:rFonts w:ascii="Times New Roman" w:hAnsi="Times New Roman"/>
                <w:b w:val="1"/>
                <w:bCs w:val="1"/>
                <w:sz w:val="24"/>
                <w:szCs w:val="24"/>
              </w:rPr>
              <w:t>ÖSSZEHASONLÍTÓ TÁBLÁZAT</w:t>
            </w:r>
          </w:p>
          <w:p>
            <w:pPr>
              <w:jc w:val="center"/>
              <w:rPr>
                <w:rFonts w:ascii="Times New Roman" w:hAnsi="Times New Roman"/>
                <w:sz w:val="24"/>
                <w:szCs w:val="24"/>
              </w:rPr>
            </w:pPr>
          </w:p>
        </w:tc>
      </w:tr>
      <w:tr>
        <w:tc>
          <w:tcPr>
            <w:tcW w:w="4531" w:type="dxa"/>
            <w:tcBorders>
              <w:top w:val="nil"/>
              <w:left w:val="nil"/>
              <w:bottom w:val="single" w:sz="4" w:space="0" w:shadow="0" w:frame="0"/>
              <w:right w:val="nil"/>
            </w:tcBorders>
          </w:tcPr>
          <w:p>
            <w:pPr>
              <w:jc w:val="both"/>
              <w:rPr>
                <w:rFonts w:ascii="Times New Roman" w:hAnsi="Times New Roman"/>
                <w:bCs w:val="1"/>
                <w:sz w:val="24"/>
                <w:szCs w:val="24"/>
              </w:rPr>
            </w:pPr>
          </w:p>
        </w:tc>
        <w:tc>
          <w:tcPr>
            <w:tcW w:w="4531" w:type="dxa"/>
            <w:tcBorders>
              <w:top w:val="nil"/>
              <w:left w:val="nil"/>
              <w:bottom w:val="single" w:sz="4" w:space="0" w:shadow="0" w:frame="0"/>
              <w:right w:val="nil"/>
            </w:tcBorders>
          </w:tcPr>
          <w:p>
            <w:pPr>
              <w:jc w:val="center"/>
              <w:rPr>
                <w:rFonts w:ascii="Times New Roman" w:hAnsi="Times New Roman"/>
                <w:sz w:val="24"/>
                <w:szCs w:val="24"/>
              </w:rPr>
            </w:pPr>
          </w:p>
        </w:tc>
      </w:tr>
      <w:tr>
        <w:tc>
          <w:tcPr>
            <w:tcW w:w="4531" w:type="dxa"/>
            <w:tcBorders>
              <w:top w:val="single" w:sz="4" w:space="0" w:shadow="0" w:frame="0"/>
            </w:tcBorders>
          </w:tcPr>
          <w:p>
            <w:pPr>
              <w:jc w:val="both"/>
            </w:pPr>
            <w:r>
              <w:rPr>
                <w:rFonts w:ascii="Times New Roman" w:hAnsi="Times New Roman"/>
                <w:bCs w:val="1"/>
                <w:sz w:val="24"/>
                <w:szCs w:val="24"/>
              </w:rPr>
              <w:t xml:space="preserve">Budapest Főváros XIV. Kerület Zugló Önkormányzata Képviselő-testülete a Budapest Főváros XIV. Kerület Zugló Önkormányzata tulajdonában álló </w:t>
            </w:r>
            <w:r>
              <w:rPr>
                <w:rFonts w:ascii="Times New Roman" w:hAnsi="Times New Roman"/>
                <w:b w:val="1"/>
                <w:bCs w:val="1"/>
                <w:sz w:val="24"/>
                <w:szCs w:val="24"/>
              </w:rPr>
              <w:t>lakások bérletének szabályozásáról szóló 9/2024. (IV. 2.) önkormányzati rendelet (hatályos)</w:t>
            </w:r>
          </w:p>
        </w:tc>
        <w:tc>
          <w:tcPr>
            <w:tcW w:w="4531" w:type="dxa"/>
            <w:tcBorders>
              <w:top w:val="single" w:sz="4" w:space="0" w:shadow="0" w:frame="0"/>
            </w:tcBorders>
          </w:tcPr>
          <w:p>
            <w:pPr>
              <w:jc w:val="center"/>
              <w:rPr>
                <w:rFonts w:ascii="Times New Roman" w:hAnsi="Times New Roman"/>
                <w:b w:val="1"/>
                <w:sz w:val="24"/>
                <w:szCs w:val="24"/>
              </w:rPr>
            </w:pPr>
            <w:r>
              <w:rPr>
                <w:rFonts w:ascii="Times New Roman" w:hAnsi="Times New Roman"/>
                <w:b w:val="1"/>
                <w:sz w:val="24"/>
                <w:szCs w:val="24"/>
              </w:rPr>
              <w:t>Tervezet</w:t>
            </w:r>
          </w:p>
        </w:tc>
      </w:tr>
      <w:tr>
        <w:tc>
          <w:tcPr>
            <w:tcW w:w="4531" w:type="dxa"/>
            <w:tcBorders>
              <w:top w:val="single" w:sz="4" w:space="0" w:shadow="0" w:frame="0"/>
            </w:tcBorders>
          </w:tcPr>
          <w:p>
            <w:pPr>
              <w:jc w:val="both"/>
              <w:rPr>
                <w:rFonts w:ascii="Times New Roman" w:hAnsi="Times New Roman"/>
                <w:bCs w:val="1"/>
                <w:sz w:val="24"/>
                <w:szCs w:val="24"/>
              </w:rPr>
            </w:pPr>
            <w:r>
              <w:rPr>
                <w:rFonts w:ascii="Times New Roman" w:hAnsi="Times New Roman"/>
                <w:sz w:val="24"/>
                <w:szCs w:val="24"/>
              </w:rPr>
              <w:t>9. § (1) Kérelem alapján bérleti szerződés abban az esetben köthető, amennyiben a kérelmező a szerződéskötést megelőzően igazolja, hogy költségalapú bérlet esetén egy, piaci alapú bérlet esetén két havi lakbérrel megegyező mértékű óvadékot megfizetett az Önkormányzat által megjelölt és közölt számlára, kivéve, ha a kérelmező a 29. § (1) bekezdésének hatálya alá esik.</w:t>
            </w:r>
          </w:p>
        </w:tc>
        <w:tc>
          <w:tcPr>
            <w:tcW w:w="4531" w:type="dxa"/>
            <w:tcBorders>
              <w:top w:val="single" w:sz="4" w:space="0" w:shadow="0" w:frame="0"/>
            </w:tcBorders>
          </w:tcPr>
          <w:p>
            <w:pPr>
              <w:jc w:val="both"/>
              <w:rPr>
                <w:rFonts w:ascii="Times New Roman" w:hAnsi="Times New Roman"/>
                <w:bCs w:val="1"/>
                <w:sz w:val="24"/>
                <w:szCs w:val="24"/>
              </w:rPr>
            </w:pPr>
            <w:r>
              <w:rPr>
                <w:rFonts w:ascii="Times New Roman" w:hAnsi="Times New Roman"/>
                <w:sz w:val="24"/>
                <w:szCs w:val="24"/>
              </w:rPr>
              <w:t>9. § (1) Kérelem alapján bérleti szerződés abban az esetben köthető, amennyiben a kérelmező a szerződéskötést megelőzően igazolja, hogy piaci alapú és költségalapú bérlet esetén egy havi lakbérrel megegyező mértékű óvadékot megfizetett az Önkormányzat által megjelölt és közölt számlára, kivéve, ha a kérelmező a 29. § (1) bekezdésének hatálya alá esik.</w:t>
            </w:r>
          </w:p>
        </w:tc>
      </w:tr>
      <w:tr>
        <w:tc>
          <w:tcPr>
            <w:tcW w:w="4531" w:type="dxa"/>
          </w:tcPr>
          <w:p>
            <w:pPr>
              <w:jc w:val="both"/>
              <w:rPr>
                <w:rFonts w:ascii="Times New Roman" w:hAnsi="Times New Roman"/>
                <w:bCs w:val="1"/>
                <w:sz w:val="24"/>
                <w:szCs w:val="24"/>
              </w:rPr>
            </w:pPr>
            <w:r>
              <w:rPr>
                <w:rFonts w:ascii="Times New Roman" w:hAnsi="Times New Roman"/>
                <w:bCs w:val="1"/>
                <w:sz w:val="24"/>
                <w:szCs w:val="24"/>
              </w:rPr>
              <w:t>11. § (2) Szociális vagy költség alapon első alkalommal két évre adható bérbe lakás. A bérleti szerződés további kettő és öt év közötti időtartamra meghosszabbítható, az e rendeletben meghatározottak szerint.</w:t>
            </w:r>
          </w:p>
        </w:tc>
        <w:tc>
          <w:tcPr>
            <w:tcW w:w="4531" w:type="dxa"/>
          </w:tcPr>
          <w:p>
            <w:pPr>
              <w:pStyle w:val="P1"/>
              <w:tabs>
                <w:tab w:val="left" w:pos="284" w:leader="none"/>
              </w:tabs>
              <w:spacing w:lineRule="auto" w:line="240" w:before="100" w:after="100" w:beforeAutospacing="1" w:afterAutospacing="1"/>
              <w:ind w:left="0"/>
              <w:jc w:val="both"/>
              <w:rPr>
                <w:rFonts w:ascii="Times New Roman" w:hAnsi="Times New Roman"/>
                <w:bCs w:val="1"/>
                <w:sz w:val="24"/>
                <w:szCs w:val="24"/>
              </w:rPr>
            </w:pPr>
            <w:r>
              <w:rPr>
                <w:rFonts w:ascii="Times New Roman" w:hAnsi="Times New Roman"/>
                <w:bCs w:val="1"/>
                <w:sz w:val="24"/>
                <w:szCs w:val="24"/>
              </w:rPr>
              <w:t xml:space="preserve">11. § (2) </w:t>
            </w:r>
            <w:r>
              <w:rPr>
                <w:rFonts w:ascii="Times New Roman" w:hAnsi="Times New Roman"/>
                <w:bCs w:val="1"/>
                <w:sz w:val="24"/>
                <w:szCs w:val="24"/>
                <w:lang w:eastAsia="en-US"/>
              </w:rPr>
              <w:t>Szociális vagy költség alapon első alkalommal két évre adható bérbe lakás, kivéve a 29. § (1) bekezdés c) pontja alapján létrejött lakásbérleti jogviszonyt, mely esetben amennyiben a korábbi lakásbérleti szerződés határozatlan idejű volt, határozatlan időre adható bérbe lakás, amennyiben a korábbi lakásbérleti szerződés határozott idejű volt, legfeljebb öt évre adható bérbe lakás. A bérleti szerződés további kettő és öt év közötti időtartamra meghosszabbítható, az e rendeletben meghatározottak szerint.</w:t>
            </w:r>
          </w:p>
        </w:tc>
      </w:tr>
      <w:tr>
        <w:tc>
          <w:tcPr>
            <w:tcW w:w="4531" w:type="dxa"/>
          </w:tcPr>
          <w:p>
            <w:pPr>
              <w:jc w:val="both"/>
              <w:rPr>
                <w:rFonts w:ascii="Times New Roman" w:hAnsi="Times New Roman"/>
                <w:sz w:val="24"/>
                <w:szCs w:val="24"/>
              </w:rPr>
            </w:pPr>
            <w:r>
              <w:rPr>
                <w:rFonts w:ascii="Times New Roman" w:hAnsi="Times New Roman"/>
                <w:bCs w:val="1"/>
                <w:sz w:val="24"/>
                <w:szCs w:val="24"/>
              </w:rPr>
              <w:t>14. § (1) A használati díj mértéke a jogcím nélküli lakáshasználat kezdő időpontjától számított hat hónapon túl a bérleti díj másfélszeres mértékének megfelelő összeg</w:t>
            </w:r>
            <w:r>
              <w:rPr>
                <w:rFonts w:ascii="Times New Roman" w:hAnsi="Times New Roman"/>
                <w:sz w:val="24"/>
                <w:szCs w:val="24"/>
              </w:rPr>
              <w:t>.</w:t>
            </w:r>
          </w:p>
        </w:tc>
        <w:tc>
          <w:tcPr>
            <w:tcW w:w="4531" w:type="dxa"/>
          </w:tcPr>
          <w:p>
            <w:pPr>
              <w:pStyle w:val="P1"/>
              <w:tabs>
                <w:tab w:val="left" w:pos="284" w:leader="none"/>
              </w:tabs>
              <w:spacing w:lineRule="auto" w:line="240" w:before="100" w:after="100" w:beforeAutospacing="1" w:afterAutospacing="1"/>
              <w:ind w:left="0"/>
              <w:jc w:val="both"/>
              <w:rPr>
                <w:rFonts w:ascii="Times New Roman" w:hAnsi="Times New Roman"/>
                <w:sz w:val="24"/>
                <w:szCs w:val="24"/>
              </w:rPr>
            </w:pPr>
            <w:r>
              <w:rPr>
                <w:rFonts w:ascii="Times New Roman" w:hAnsi="Times New Roman"/>
                <w:bCs w:val="1"/>
                <w:sz w:val="24"/>
                <w:szCs w:val="24"/>
              </w:rPr>
              <w:t xml:space="preserve">14. § </w:t>
            </w:r>
            <w:r>
              <w:rPr>
                <w:rFonts w:ascii="Times New Roman" w:hAnsi="Times New Roman"/>
                <w:bCs w:val="1"/>
                <w:sz w:val="24"/>
                <w:szCs w:val="24"/>
                <w:lang w:val="hu-HU" w:eastAsia="en-US"/>
              </w:rPr>
              <w:t xml:space="preserve">(1) </w:t>
            </w:r>
            <w:r>
              <w:rPr>
                <w:rFonts w:ascii="Times New Roman" w:hAnsi="Times New Roman"/>
                <w:bCs w:val="1"/>
                <w:sz w:val="24"/>
                <w:szCs w:val="24"/>
                <w:lang w:eastAsia="en-US"/>
              </w:rPr>
              <w:t>A használati díj mértéke a bérleti díjjal egyező mértékű összeg.</w:t>
            </w:r>
          </w:p>
        </w:tc>
      </w:tr>
      <w:tr>
        <w:tc>
          <w:tcPr>
            <w:tcW w:w="4531" w:type="dxa"/>
          </w:tcPr>
          <w:p>
            <w:pPr>
              <w:jc w:val="both"/>
              <w:rPr>
                <w:rFonts w:ascii="Times New Roman" w:hAnsi="Times New Roman"/>
                <w:bCs w:val="1"/>
                <w:sz w:val="24"/>
                <w:szCs w:val="24"/>
                <w:highlight w:val="yellow"/>
              </w:rPr>
            </w:pPr>
            <w:r>
              <w:rPr>
                <w:rFonts w:ascii="Times New Roman" w:hAnsi="Times New Roman"/>
                <w:bCs w:val="1"/>
                <w:sz w:val="24"/>
                <w:szCs w:val="24"/>
              </w:rPr>
              <w:t>18. § Az önkormányzati lakások hasznosításának módjára a polgármester a lakásgazdálkodási ügyekért felelős alpolgármesterrel együttműködve, a tárgyévi költségvetés benyújtásáig lakáshasznosítási tervet készít a tárgyévre vonatkozóan, melyet a Képviselő-testület költségvetést tárgyaló ülését követő ülésére terjeszt elő. Lakás hasznosítása csak a lakáshasznosítási tervben foglaltak szerint történhet.</w:t>
            </w:r>
          </w:p>
        </w:tc>
        <w:tc>
          <w:tcPr>
            <w:tcW w:w="4531" w:type="dxa"/>
            <w:shd w:val="clear" w:color="auto" w:fill="auto"/>
          </w:tcPr>
          <w:p>
            <w:pPr>
              <w:jc w:val="both"/>
              <w:rPr>
                <w:rFonts w:ascii="Times New Roman" w:hAnsi="Times New Roman"/>
                <w:bCs w:val="1"/>
                <w:sz w:val="24"/>
                <w:szCs w:val="24"/>
              </w:rPr>
            </w:pPr>
            <w:r>
              <w:rPr>
                <w:rFonts w:ascii="Times New Roman" w:hAnsi="Times New Roman"/>
                <w:bCs w:val="1"/>
                <w:sz w:val="24"/>
                <w:szCs w:val="24"/>
              </w:rPr>
              <w:t xml:space="preserve">18. § </w:t>
            </w:r>
            <w:bookmarkStart w:id="1" w:name="_Hlk194059108"/>
            <w:r>
              <w:rPr>
                <w:rFonts w:ascii="Times New Roman" w:hAnsi="Times New Roman"/>
                <w:bCs w:val="1"/>
                <w:sz w:val="24"/>
                <w:szCs w:val="24"/>
              </w:rPr>
              <w:t>Az önkormányzati lakások hasznosításának módjára a polgármester, a mindenkor hatályos, a polgármester feladat- és hatáskörébe tartozó egyes ügyek kiadmányozási rendjéről szóló, Budapest Főváros XIV. Kerület Zugló Polgármestere normatív utasítása alapján felelős alpolgármesterrel együttműködve, a tárgyévi költségvetés benyújtásáig lakáshasznosítási tervet készít a tárgyévre vonatkozóan, melyet a Képviselő-testület költségvetést tárgyaló ülését követő ülésére terjeszt elő. Lakás hasznosítása csak a lakáshasznosítási tervben foglaltak szerint történhet.</w:t>
            </w:r>
            <w:bookmarkEnd w:id="1"/>
          </w:p>
        </w:tc>
      </w:tr>
      <w:tr>
        <w:tc>
          <w:tcPr>
            <w:tcW w:w="4531" w:type="dxa"/>
          </w:tcPr>
          <w:p>
            <w:pPr>
              <w:jc w:val="both"/>
              <w:rPr>
                <w:rFonts w:ascii="Times New Roman" w:hAnsi="Times New Roman"/>
                <w:bCs w:val="1"/>
                <w:sz w:val="24"/>
                <w:szCs w:val="24"/>
              </w:rPr>
            </w:pPr>
            <w:r>
              <w:rPr>
                <w:rFonts w:ascii="Times New Roman" w:hAnsi="Times New Roman"/>
                <w:bCs w:val="1"/>
                <w:sz w:val="24"/>
                <w:szCs w:val="24"/>
              </w:rPr>
              <w:t xml:space="preserve">19. § (1): A lakáshasznosítási terv tartalmazza: </w:t>
            </w:r>
          </w:p>
          <w:p>
            <w:pPr>
              <w:jc w:val="both"/>
              <w:rPr>
                <w:rFonts w:ascii="Times New Roman" w:hAnsi="Times New Roman"/>
                <w:bCs w:val="1"/>
                <w:sz w:val="24"/>
                <w:szCs w:val="24"/>
              </w:rPr>
            </w:pPr>
            <w:r>
              <w:rPr>
                <w:rFonts w:ascii="Times New Roman" w:hAnsi="Times New Roman"/>
                <w:bCs w:val="1"/>
                <w:sz w:val="24"/>
                <w:szCs w:val="24"/>
              </w:rPr>
              <w:t xml:space="preserve">a) a lakáshasznosítási terv előterjesztésekor hasznosítható lakások számát és komfortfokozatát, valamint </w:t>
            </w:r>
          </w:p>
          <w:p>
            <w:pPr>
              <w:jc w:val="both"/>
              <w:rPr>
                <w:rFonts w:ascii="Times New Roman" w:hAnsi="Times New Roman"/>
                <w:bCs w:val="1"/>
                <w:sz w:val="24"/>
                <w:szCs w:val="24"/>
              </w:rPr>
            </w:pPr>
            <w:r>
              <w:rPr>
                <w:rFonts w:ascii="Times New Roman" w:hAnsi="Times New Roman"/>
                <w:bCs w:val="1"/>
                <w:sz w:val="24"/>
                <w:szCs w:val="24"/>
              </w:rPr>
              <w:t xml:space="preserve">b) a tárgyévre vonatkozóan a további, hasznosításba bevonni tervezett lakásokat az alábbiak szerint </w:t>
            </w:r>
          </w:p>
          <w:p>
            <w:pPr>
              <w:jc w:val="both"/>
              <w:rPr>
                <w:rFonts w:ascii="Times New Roman" w:hAnsi="Times New Roman"/>
                <w:bCs w:val="1"/>
                <w:sz w:val="24"/>
                <w:szCs w:val="24"/>
              </w:rPr>
            </w:pPr>
            <w:r>
              <w:rPr>
                <w:rFonts w:ascii="Times New Roman" w:hAnsi="Times New Roman"/>
                <w:bCs w:val="1"/>
                <w:sz w:val="24"/>
                <w:szCs w:val="24"/>
              </w:rPr>
              <w:t xml:space="preserve">ba) a tárgyévben vásárolni vagy építeni tervezett önkormányzati bérlakások száma, komfortfokozat szerinti bontásban, </w:t>
            </w:r>
          </w:p>
          <w:p>
            <w:pPr>
              <w:jc w:val="both"/>
              <w:rPr>
                <w:rFonts w:ascii="Times New Roman" w:hAnsi="Times New Roman"/>
                <w:bCs w:val="1"/>
                <w:sz w:val="24"/>
                <w:szCs w:val="24"/>
              </w:rPr>
            </w:pPr>
            <w:r>
              <w:rPr>
                <w:rFonts w:ascii="Times New Roman" w:hAnsi="Times New Roman"/>
                <w:bCs w:val="1"/>
                <w:sz w:val="24"/>
                <w:szCs w:val="24"/>
              </w:rPr>
              <w:t xml:space="preserve">bb) a tárgyévben a lakatlan, nem bérbe adott, felújítani tervezett lakások száma és komfortfokozata, ezen belül a komfortfokozatnövelő felújítások száma, a jelenlegi és a célzott komfortfokozat megnevezésével, </w:t>
            </w:r>
          </w:p>
          <w:p>
            <w:pPr>
              <w:jc w:val="both"/>
              <w:rPr>
                <w:rFonts w:ascii="Times New Roman" w:hAnsi="Times New Roman"/>
                <w:bCs w:val="1"/>
                <w:sz w:val="24"/>
                <w:szCs w:val="24"/>
              </w:rPr>
            </w:pPr>
            <w:r>
              <w:rPr>
                <w:rFonts w:ascii="Times New Roman" w:hAnsi="Times New Roman"/>
                <w:bCs w:val="1"/>
                <w:sz w:val="24"/>
                <w:szCs w:val="24"/>
              </w:rPr>
              <w:t xml:space="preserve">bc) a tárgyév során kiüríteni vagy bontani tervezett önkormányzati bérlakások száma és komfortfokozata, </w:t>
            </w:r>
          </w:p>
          <w:p>
            <w:pPr>
              <w:jc w:val="both"/>
              <w:rPr>
                <w:rFonts w:ascii="Times New Roman" w:hAnsi="Times New Roman"/>
                <w:bCs w:val="1"/>
                <w:sz w:val="24"/>
                <w:szCs w:val="24"/>
              </w:rPr>
            </w:pPr>
            <w:r>
              <w:rPr>
                <w:rFonts w:ascii="Times New Roman" w:hAnsi="Times New Roman"/>
                <w:bCs w:val="1"/>
                <w:sz w:val="24"/>
                <w:szCs w:val="24"/>
              </w:rPr>
              <w:t xml:space="preserve">bd) a tárgyévben a lakatlan, nem bérbe adott, értékesíteni tervezett lakások száma és komfortfokozata, és </w:t>
            </w:r>
          </w:p>
          <w:p>
            <w:pPr>
              <w:jc w:val="both"/>
              <w:rPr>
                <w:rFonts w:ascii="Times New Roman" w:hAnsi="Times New Roman"/>
                <w:bCs w:val="1"/>
                <w:sz w:val="24"/>
                <w:szCs w:val="24"/>
              </w:rPr>
            </w:pPr>
            <w:r>
              <w:rPr>
                <w:rFonts w:ascii="Times New Roman" w:hAnsi="Times New Roman"/>
                <w:bCs w:val="1"/>
                <w:sz w:val="24"/>
                <w:szCs w:val="24"/>
              </w:rPr>
              <w:t xml:space="preserve">be) a tárgyév során csatolással hasznosítani tervezett önkormányzati bérlakások száma és komfortfokozata. </w:t>
            </w:r>
          </w:p>
          <w:p>
            <w:pPr>
              <w:jc w:val="both"/>
              <w:rPr>
                <w:rFonts w:ascii="Times New Roman" w:hAnsi="Times New Roman"/>
                <w:bCs w:val="1"/>
                <w:sz w:val="24"/>
                <w:szCs w:val="24"/>
              </w:rPr>
            </w:pPr>
            <w:r>
              <w:rPr>
                <w:rFonts w:ascii="Times New Roman" w:hAnsi="Times New Roman"/>
                <w:bCs w:val="1"/>
                <w:sz w:val="24"/>
                <w:szCs w:val="24"/>
              </w:rPr>
              <w:t xml:space="preserve">c) A 16. § 1–4. pontban felsorolt jogcímek szerint hasznosítani tervezett lakásokat darabszám, komfortfokozat, bérleti díj és a hasznosítás szerint, a 29. § (1) bekezdés a)–f) pontja szerinti további részletezéssel; a 16. § 5–17. pontban felsorolt jogcímek szerint hasznosítani tervezett lakásokat darabszám szerint; valamint a névjegyzék alapján hasznosított lakások esetében a bérleti díj típusa szerint. </w:t>
            </w:r>
          </w:p>
          <w:p>
            <w:pPr>
              <w:jc w:val="both"/>
              <w:rPr>
                <w:rFonts w:ascii="Times New Roman" w:hAnsi="Times New Roman"/>
                <w:bCs w:val="1"/>
                <w:sz w:val="24"/>
                <w:szCs w:val="24"/>
              </w:rPr>
            </w:pPr>
            <w:r>
              <w:rPr>
                <w:rFonts w:ascii="Times New Roman" w:hAnsi="Times New Roman"/>
                <w:bCs w:val="1"/>
                <w:sz w:val="24"/>
                <w:szCs w:val="24"/>
              </w:rPr>
              <w:t>d) A más jogszabály alapján hasznosított lakások számát és komfortfokozatát.</w:t>
            </w:r>
          </w:p>
        </w:tc>
        <w:tc>
          <w:tcPr>
            <w:tcW w:w="4531" w:type="dxa"/>
            <w:shd w:val="clear" w:color="auto" w:fill="auto"/>
          </w:tcPr>
          <w:p>
            <w:pPr>
              <w:pStyle w:val="P1"/>
              <w:tabs>
                <w:tab w:val="left" w:pos="284" w:leader="none"/>
                <w:tab w:val="left" w:pos="4230" w:leader="none"/>
                <w:tab w:val="center" w:pos="4514" w:leader="none"/>
              </w:tabs>
              <w:spacing w:lineRule="auto" w:line="240" w:before="100" w:after="100" w:beforeAutospacing="1" w:afterAutospacing="1"/>
              <w:ind w:left="0"/>
              <w:jc w:val="both"/>
              <w:rPr>
                <w:rFonts w:ascii="Times New Roman" w:hAnsi="Times New Roman"/>
                <w:bCs w:val="1"/>
                <w:sz w:val="24"/>
                <w:szCs w:val="24"/>
                <w:lang w:eastAsia="en-US"/>
              </w:rPr>
            </w:pPr>
            <w:r>
              <w:rPr>
                <w:rFonts w:ascii="Times New Roman" w:hAnsi="Times New Roman"/>
                <w:bCs w:val="1"/>
                <w:sz w:val="24"/>
                <w:szCs w:val="24"/>
                <w:lang w:val="hu-HU" w:eastAsia="en-US"/>
              </w:rPr>
              <w:t xml:space="preserve">19. § (1) </w:t>
            </w:r>
            <w:r>
              <w:rPr>
                <w:rFonts w:ascii="Times New Roman" w:hAnsi="Times New Roman"/>
                <w:bCs w:val="1"/>
                <w:sz w:val="24"/>
                <w:szCs w:val="24"/>
                <w:lang w:eastAsia="en-US"/>
              </w:rPr>
              <w:t xml:space="preserve">A lakáshasznosítási terv tartalmazza: </w:t>
            </w:r>
          </w:p>
          <w:p>
            <w:pPr>
              <w:pStyle w:val="P1"/>
              <w:tabs>
                <w:tab w:val="left" w:pos="284" w:leader="none"/>
                <w:tab w:val="left" w:pos="4230" w:leader="none"/>
                <w:tab w:val="center" w:pos="4514" w:leader="none"/>
              </w:tabs>
              <w:spacing w:lineRule="auto" w:line="240" w:before="100" w:after="100" w:beforeAutospacing="1" w:afterAutospacing="1"/>
              <w:ind w:left="0"/>
              <w:jc w:val="both"/>
              <w:rPr>
                <w:rFonts w:ascii="Times New Roman" w:hAnsi="Times New Roman"/>
                <w:bCs w:val="1"/>
                <w:sz w:val="24"/>
                <w:szCs w:val="24"/>
                <w:lang w:eastAsia="en-US"/>
              </w:rPr>
            </w:pPr>
            <w:r>
              <w:rPr>
                <w:rFonts w:ascii="Times New Roman" w:hAnsi="Times New Roman"/>
                <w:bCs w:val="1"/>
                <w:sz w:val="24"/>
                <w:szCs w:val="24"/>
                <w:lang w:eastAsia="en-US"/>
              </w:rPr>
              <w:t xml:space="preserve">a) a lakáshasznosítási terv előterjesztésekor hasznosítható lakások számát, valamint </w:t>
            </w:r>
          </w:p>
          <w:p>
            <w:pPr>
              <w:pStyle w:val="P1"/>
              <w:tabs>
                <w:tab w:val="left" w:pos="284" w:leader="none"/>
                <w:tab w:val="left" w:pos="4230" w:leader="none"/>
                <w:tab w:val="center" w:pos="4514" w:leader="none"/>
              </w:tabs>
              <w:spacing w:lineRule="auto" w:line="240" w:before="100" w:after="100" w:beforeAutospacing="1" w:afterAutospacing="1"/>
              <w:ind w:left="0"/>
              <w:jc w:val="both"/>
              <w:rPr>
                <w:rFonts w:ascii="Times New Roman" w:hAnsi="Times New Roman"/>
                <w:bCs w:val="1"/>
                <w:sz w:val="24"/>
                <w:szCs w:val="24"/>
                <w:lang w:eastAsia="en-US"/>
              </w:rPr>
            </w:pPr>
            <w:r>
              <w:rPr>
                <w:rFonts w:ascii="Times New Roman" w:hAnsi="Times New Roman"/>
                <w:bCs w:val="1"/>
                <w:sz w:val="24"/>
                <w:szCs w:val="24"/>
                <w:lang w:eastAsia="en-US"/>
              </w:rPr>
              <w:t xml:space="preserve">b) a tárgyévre vonatkozóan a további, hasznosításba bevonni tervezett lakásokat az alábbiak szerint </w:t>
            </w:r>
          </w:p>
          <w:p>
            <w:pPr>
              <w:pStyle w:val="P1"/>
              <w:tabs>
                <w:tab w:val="left" w:pos="284" w:leader="none"/>
                <w:tab w:val="left" w:pos="4230" w:leader="none"/>
                <w:tab w:val="center" w:pos="4514" w:leader="none"/>
              </w:tabs>
              <w:spacing w:lineRule="auto" w:line="240" w:before="100" w:after="100" w:beforeAutospacing="1" w:afterAutospacing="1"/>
              <w:ind w:left="0"/>
              <w:jc w:val="both"/>
              <w:rPr>
                <w:rFonts w:ascii="Times New Roman" w:hAnsi="Times New Roman"/>
                <w:bCs w:val="1"/>
                <w:sz w:val="24"/>
                <w:szCs w:val="24"/>
                <w:lang w:eastAsia="en-US"/>
              </w:rPr>
            </w:pPr>
            <w:r>
              <w:rPr>
                <w:rFonts w:ascii="Times New Roman" w:hAnsi="Times New Roman"/>
                <w:bCs w:val="1"/>
                <w:sz w:val="24"/>
                <w:szCs w:val="24"/>
                <w:lang w:eastAsia="en-US"/>
              </w:rPr>
              <w:t xml:space="preserve">ba) a tárgyévben vásárolni vagy építeni tervezett önkormányzati bérlakások száma, </w:t>
            </w:r>
          </w:p>
          <w:p>
            <w:pPr>
              <w:pStyle w:val="P1"/>
              <w:tabs>
                <w:tab w:val="left" w:pos="284" w:leader="none"/>
                <w:tab w:val="left" w:pos="4230" w:leader="none"/>
                <w:tab w:val="center" w:pos="4514" w:leader="none"/>
              </w:tabs>
              <w:spacing w:lineRule="auto" w:line="240" w:before="100" w:after="100" w:beforeAutospacing="1" w:afterAutospacing="1"/>
              <w:ind w:left="0"/>
              <w:jc w:val="both"/>
              <w:rPr>
                <w:rFonts w:ascii="Times New Roman" w:hAnsi="Times New Roman"/>
                <w:bCs w:val="1"/>
                <w:sz w:val="24"/>
                <w:szCs w:val="24"/>
                <w:lang w:eastAsia="en-US"/>
              </w:rPr>
            </w:pPr>
            <w:r>
              <w:rPr>
                <w:rFonts w:ascii="Times New Roman" w:hAnsi="Times New Roman"/>
                <w:bCs w:val="1"/>
                <w:sz w:val="24"/>
                <w:szCs w:val="24"/>
                <w:lang w:eastAsia="en-US"/>
              </w:rPr>
              <w:t xml:space="preserve">bb) a tárgyévben a lakatlan, nem bérbe adott, felújítani tervezett lakások száma, </w:t>
            </w:r>
          </w:p>
          <w:p>
            <w:pPr>
              <w:pStyle w:val="P1"/>
              <w:tabs>
                <w:tab w:val="left" w:pos="284" w:leader="none"/>
                <w:tab w:val="left" w:pos="4230" w:leader="none"/>
                <w:tab w:val="center" w:pos="4514" w:leader="none"/>
              </w:tabs>
              <w:spacing w:lineRule="auto" w:line="240" w:before="100" w:after="100" w:beforeAutospacing="1" w:afterAutospacing="1"/>
              <w:ind w:left="0"/>
              <w:jc w:val="both"/>
              <w:rPr>
                <w:rFonts w:ascii="Times New Roman" w:hAnsi="Times New Roman"/>
                <w:bCs w:val="1"/>
                <w:sz w:val="24"/>
                <w:szCs w:val="24"/>
                <w:lang w:eastAsia="en-US"/>
              </w:rPr>
            </w:pPr>
            <w:r>
              <w:rPr>
                <w:rFonts w:ascii="Times New Roman" w:hAnsi="Times New Roman"/>
                <w:bCs w:val="1"/>
                <w:sz w:val="24"/>
                <w:szCs w:val="24"/>
                <w:lang w:eastAsia="en-US"/>
              </w:rPr>
              <w:t xml:space="preserve">bc) a tárgyév során kiüríteni tervezett önkormányzati bérlakások száma, </w:t>
            </w:r>
          </w:p>
          <w:p>
            <w:pPr>
              <w:pStyle w:val="P1"/>
              <w:tabs>
                <w:tab w:val="left" w:pos="284" w:leader="none"/>
                <w:tab w:val="left" w:pos="4230" w:leader="none"/>
                <w:tab w:val="center" w:pos="4514" w:leader="none"/>
              </w:tabs>
              <w:spacing w:lineRule="auto" w:line="240" w:before="100" w:after="100" w:beforeAutospacing="1" w:afterAutospacing="1"/>
              <w:ind w:left="0"/>
              <w:jc w:val="both"/>
              <w:rPr>
                <w:rFonts w:ascii="Times New Roman" w:hAnsi="Times New Roman"/>
                <w:bCs w:val="1"/>
                <w:sz w:val="24"/>
                <w:szCs w:val="24"/>
                <w:lang w:eastAsia="en-US"/>
              </w:rPr>
            </w:pPr>
            <w:r>
              <w:rPr>
                <w:rFonts w:ascii="Times New Roman" w:hAnsi="Times New Roman"/>
                <w:bCs w:val="1"/>
                <w:sz w:val="24"/>
                <w:szCs w:val="24"/>
                <w:lang w:eastAsia="en-US"/>
              </w:rPr>
              <w:t>bd) a tárgyévben a lakatlan, nem bérbe adott, értékesíteni tervezett lakások száma.</w:t>
            </w:r>
          </w:p>
          <w:p>
            <w:pPr>
              <w:pStyle w:val="P1"/>
              <w:tabs>
                <w:tab w:val="left" w:pos="284" w:leader="none"/>
                <w:tab w:val="left" w:pos="4230" w:leader="none"/>
                <w:tab w:val="center" w:pos="4514" w:leader="none"/>
              </w:tabs>
              <w:spacing w:lineRule="auto" w:line="240" w:before="100" w:after="100" w:beforeAutospacing="1" w:afterAutospacing="1"/>
              <w:ind w:left="0"/>
              <w:jc w:val="both"/>
              <w:rPr>
                <w:rFonts w:ascii="Times New Roman" w:hAnsi="Times New Roman"/>
                <w:bCs w:val="1"/>
                <w:sz w:val="24"/>
                <w:szCs w:val="24"/>
                <w:lang w:eastAsia="en-US"/>
              </w:rPr>
            </w:pPr>
            <w:r>
              <w:rPr>
                <w:rFonts w:ascii="Times New Roman" w:hAnsi="Times New Roman"/>
                <w:bCs w:val="1"/>
                <w:sz w:val="24"/>
                <w:szCs w:val="24"/>
                <w:lang w:eastAsia="en-US"/>
              </w:rPr>
              <w:t xml:space="preserve">c) A 16. § 1–4. pontban felsorolt jogcímek szerint hasznosítani tervezett lakásokat darabszám, bérleti díj és a hasznosítás szerint, a 29. § (1) bekezdés a)–f) pontja szerinti további részletezéssel; a 16. § 5–17. pontban felsorolt jogcímek szerint hasznosítani tervezett lakásokat darabszám szerint; valamint a névjegyzék alapján hasznosított lakások esetében a bérleti díj típusa szerint. </w:t>
            </w:r>
          </w:p>
          <w:p>
            <w:pPr>
              <w:pStyle w:val="P1"/>
              <w:tabs>
                <w:tab w:val="left" w:pos="284" w:leader="none"/>
                <w:tab w:val="left" w:pos="4230" w:leader="none"/>
                <w:tab w:val="center" w:pos="4514" w:leader="none"/>
              </w:tabs>
              <w:spacing w:lineRule="auto" w:line="240" w:before="100" w:after="100" w:beforeAutospacing="1" w:afterAutospacing="1"/>
              <w:ind w:left="0"/>
              <w:jc w:val="both"/>
              <w:rPr>
                <w:rFonts w:ascii="Times New Roman" w:hAnsi="Times New Roman"/>
                <w:bCs w:val="1"/>
                <w:sz w:val="24"/>
                <w:szCs w:val="24"/>
                <w:lang w:eastAsia="en-US"/>
              </w:rPr>
            </w:pPr>
            <w:r>
              <w:rPr>
                <w:rFonts w:ascii="Times New Roman" w:hAnsi="Times New Roman"/>
                <w:bCs w:val="1"/>
                <w:sz w:val="24"/>
                <w:szCs w:val="24"/>
                <w:lang w:eastAsia="en-US"/>
              </w:rPr>
              <w:t>d) A más jogszabály alapján hasznosított lakások számát.”</w:t>
            </w:r>
          </w:p>
        </w:tc>
      </w:tr>
      <w:tr>
        <w:tc>
          <w:tcPr>
            <w:tcW w:w="4531" w:type="dxa"/>
            <w:shd w:val="clear" w:color="auto" w:fill="auto"/>
          </w:tcPr>
          <w:p>
            <w:pPr>
              <w:jc w:val="both"/>
              <w:rPr>
                <w:rFonts w:ascii="Times New Roman" w:hAnsi="Times New Roman"/>
                <w:bCs w:val="1"/>
                <w:sz w:val="24"/>
                <w:szCs w:val="24"/>
              </w:rPr>
            </w:pPr>
            <w:r>
              <w:rPr>
                <w:rFonts w:ascii="Times New Roman" w:hAnsi="Times New Roman"/>
                <w:bCs w:val="1"/>
                <w:sz w:val="24"/>
                <w:szCs w:val="24"/>
              </w:rPr>
              <w:t>31. § (2) Az „Első fészek” hasznosításra kijelölt lakás bérleti jogának megszerzésére azok a pályázat benyújtásakor 35. életévüket be nem töltött házaspárok, vagy élettársak pályázhatnak</w:t>
              <w:br w:type="textWrapping"/>
              <w:t>d) akik valamely pénzintézetnél legalább a lakásbérleti jogviszonyhoz igazodó időtartamra lakás-előtakarékossági szerződést kötnek, amelynek legkisebb összegét a Városfejlesztési Bizottság a pályázati kiírásban állapítja meg,</w:t>
            </w:r>
          </w:p>
        </w:tc>
        <w:tc>
          <w:tcPr>
            <w:tcW w:w="4531" w:type="dxa"/>
            <w:shd w:val="clear" w:color="auto" w:fill="auto"/>
          </w:tcPr>
          <w:p>
            <w:pPr>
              <w:jc w:val="both"/>
              <w:rPr>
                <w:rFonts w:ascii="Times New Roman" w:hAnsi="Times New Roman"/>
                <w:bCs w:val="1"/>
                <w:sz w:val="24"/>
                <w:szCs w:val="24"/>
              </w:rPr>
            </w:pPr>
            <w:r>
              <w:rPr>
                <w:rFonts w:ascii="Times New Roman" w:hAnsi="Times New Roman"/>
                <w:bCs w:val="1"/>
                <w:sz w:val="24"/>
                <w:szCs w:val="24"/>
              </w:rPr>
              <w:t>31. § (2) Az „Első fészek” hasznosításra kijelölt lakás bérleti jogának megszerzésére azok a pályázat benyújtásakor 35. életévüket be nem töltött házaspárok, vagy élettársak pályázhatnak</w:t>
              <w:br w:type="textWrapping"/>
              <w:t>„d) akik vállalják, hogy a pályázat nyerteseként valamely pénzintézetnél, a pályázati kiírásban feltüntetett legkisebb összegnek megfelelő, legalább a lakásbérleti jogviszonyhoz igazodó időtartamra lakás-előtakarékossági szerződést kötnek és ezt a lakásbérleti szerződés megkötését megelőzően a bérbeadó felé igazolják,”</w:t>
            </w:r>
          </w:p>
        </w:tc>
      </w:tr>
      <w:tr>
        <w:tc>
          <w:tcPr>
            <w:tcW w:w="4531" w:type="dxa"/>
            <w:shd w:val="clear" w:color="auto" w:fill="auto"/>
          </w:tcPr>
          <w:p>
            <w:pPr>
              <w:jc w:val="both"/>
              <w:rPr>
                <w:rFonts w:ascii="Times New Roman" w:hAnsi="Times New Roman"/>
                <w:bCs w:val="1"/>
                <w:sz w:val="24"/>
                <w:szCs w:val="24"/>
              </w:rPr>
            </w:pPr>
            <w:r>
              <w:rPr>
                <w:rFonts w:ascii="Times New Roman" w:hAnsi="Times New Roman"/>
                <w:bCs w:val="1"/>
                <w:sz w:val="24"/>
                <w:szCs w:val="24"/>
              </w:rPr>
              <w:t>31. § (4) A bérleti jogviszony időtartama alatt a lakás-előtakarékossági jogviszonynak folyamatosan, megszakítás nélkül fenn kell állnia, amit a bérlő köteles a bérbeadó részére havonta hitelt érdemlő módon igazolni.</w:t>
            </w:r>
          </w:p>
        </w:tc>
        <w:tc>
          <w:tcPr>
            <w:tcW w:w="4531" w:type="dxa"/>
            <w:shd w:val="clear" w:color="auto" w:fill="auto"/>
          </w:tcPr>
          <w:p>
            <w:pPr>
              <w:jc w:val="both"/>
              <w:rPr>
                <w:rFonts w:ascii="Times New Roman" w:hAnsi="Times New Roman"/>
                <w:bCs w:val="1"/>
                <w:sz w:val="24"/>
                <w:szCs w:val="24"/>
              </w:rPr>
            </w:pPr>
            <w:r>
              <w:rPr>
                <w:rFonts w:ascii="Times New Roman" w:hAnsi="Times New Roman"/>
                <w:bCs w:val="1"/>
                <w:sz w:val="24"/>
                <w:szCs w:val="24"/>
              </w:rPr>
              <w:t>31. § (4) A bérleti jogviszony időtartama alatt a lakás-előtakarékossági jogviszonynak folyamatosan, megszakítás nélkül fenn kell állnia, amit a bérlő köteles a bérbeadó részére félévente hitelt érdemlő módon igazolni.</w:t>
            </w:r>
          </w:p>
        </w:tc>
      </w:tr>
      <w:tr>
        <w:tc>
          <w:tcPr>
            <w:tcW w:w="4531" w:type="dxa"/>
          </w:tcPr>
          <w:p>
            <w:pPr>
              <w:jc w:val="both"/>
              <w:rPr>
                <w:rFonts w:ascii="Times New Roman" w:hAnsi="Times New Roman"/>
                <w:bCs w:val="1"/>
                <w:sz w:val="24"/>
                <w:szCs w:val="24"/>
              </w:rPr>
            </w:pPr>
          </w:p>
        </w:tc>
        <w:tc>
          <w:tcPr>
            <w:tcW w:w="4531" w:type="dxa"/>
            <w:shd w:val="clear" w:color="auto" w:fill="auto"/>
          </w:tcPr>
          <w:p>
            <w:pPr>
              <w:pStyle w:val="P1"/>
              <w:tabs>
                <w:tab w:val="left" w:pos="284" w:leader="none"/>
                <w:tab w:val="left" w:pos="4230" w:leader="none"/>
                <w:tab w:val="center" w:pos="4514" w:leader="none"/>
              </w:tabs>
              <w:spacing w:lineRule="auto" w:line="240" w:before="100" w:after="100" w:beforeAutospacing="1" w:afterAutospacing="1"/>
              <w:ind w:left="0"/>
              <w:jc w:val="both"/>
              <w:rPr>
                <w:rFonts w:ascii="Times New Roman" w:hAnsi="Times New Roman"/>
                <w:bCs w:val="1"/>
                <w:sz w:val="24"/>
                <w:szCs w:val="24"/>
                <w:lang w:val="hu-HU" w:eastAsia="en-US"/>
              </w:rPr>
            </w:pPr>
            <w:r>
              <w:rPr>
                <w:rFonts w:ascii="Times New Roman" w:hAnsi="Times New Roman"/>
                <w:bCs w:val="1"/>
                <w:sz w:val="24"/>
                <w:szCs w:val="24"/>
                <w:lang w:val="hu-HU" w:eastAsia="en-US"/>
              </w:rPr>
              <w:t xml:space="preserve">48. § (7) </w:t>
            </w:r>
            <w:r>
              <w:rPr>
                <w:rFonts w:ascii="Times New Roman" w:hAnsi="Times New Roman"/>
                <w:bCs w:val="1"/>
                <w:sz w:val="24"/>
                <w:szCs w:val="24"/>
                <w:lang w:eastAsia="en-US"/>
              </w:rPr>
              <w:t>Ha a lakáskiürítésre kötelezett a minimálisan elfogadható elhelyezésnek minősülő intézménybe jelentkezését igazolja, az Önkormányzat a hátralék felhalmozás megakadályozásához alacsonyabb fenntartású cserelakást biztosíthat ideiglenes elhelyezés céljából. Az alacsonyabb fenntartású lakás felajánlását az Önkormányzat kezdeményezheti a lakáshasználati díjjal megegyező bérleti díj kategóriájának felülvizsgálata mellett. A lakáshasználati szerződés megkötésekor a 8. § (4)-(6) bekezdéseit nem kell alkalmazni. Amennyiben a lakáskiürítésre kötelezett a felajánlott cserelakás vonatkozásában elfogadó nyilatkozatot nem tesz, úgy a lakáskiürítést elrendelő jogerős határozat alapján indított végrehajtási eljárás felfüggesztésének megszüntetéséről a Városfejlesztési Bizottság dönt</w:t>
            </w:r>
            <w:r>
              <w:rPr>
                <w:rFonts w:ascii="Times New Roman" w:hAnsi="Times New Roman"/>
                <w:sz w:val="24"/>
                <w:szCs w:val="24"/>
                <w:shd w:val="clear" w:color="auto" w:fill="FFFFFF"/>
              </w:rPr>
              <w:t>.</w:t>
            </w:r>
          </w:p>
        </w:tc>
      </w:tr>
      <w:tr>
        <w:tc>
          <w:tcPr>
            <w:tcW w:w="4531" w:type="dxa"/>
          </w:tcPr>
          <w:p>
            <w:pPr>
              <w:rPr>
                <w:rFonts w:ascii="Times New Roman" w:hAnsi="Times New Roman"/>
                <w:bCs w:val="1"/>
                <w:sz w:val="24"/>
                <w:szCs w:val="24"/>
              </w:rPr>
            </w:pPr>
            <w:r>
              <w:rPr>
                <w:rFonts w:ascii="Times New Roman" w:hAnsi="Times New Roman"/>
                <w:bCs w:val="1"/>
                <w:sz w:val="24"/>
                <w:szCs w:val="24"/>
              </w:rPr>
              <w:t>49. § (1) a) nyilatkozni a lakásban élők számáról és lakhatásának jogcíméről, valamint benyújtani a bérlőre és a vele együtt lakó személyekre vonatkozóan a 6. § (3) bekezdés 8. és 19. pontja szerinti, valamint a 6. § (4) bekezdés szerinti valamennyi igazolást, illetve nyilatkozatot, továbbá az előző évre vonatkozóan a Nemzeti Adó- és Vámhivatal elektronikus személyes adatszolgáltatási rendszere (Ügyfélportál) szerinti „Magánszemélyek munkáltató által bevallott járulékadatainak lekérdezése” dokumentumot,</w:t>
            </w:r>
          </w:p>
        </w:tc>
        <w:tc>
          <w:tcPr>
            <w:tcW w:w="4531" w:type="dxa"/>
          </w:tcPr>
          <w:p>
            <w:pPr>
              <w:jc w:val="both"/>
              <w:rPr>
                <w:rFonts w:ascii="Times New Roman" w:hAnsi="Times New Roman"/>
                <w:sz w:val="24"/>
                <w:szCs w:val="24"/>
                <w:shd w:val="clear" w:color="auto" w:fill="FFFFFF"/>
              </w:rPr>
            </w:pPr>
            <w:bookmarkStart w:id="2" w:name="_Hlk194059518"/>
            <w:r>
              <w:rPr>
                <w:rFonts w:ascii="Times New Roman" w:hAnsi="Times New Roman"/>
                <w:bCs w:val="1"/>
                <w:sz w:val="24"/>
                <w:szCs w:val="24"/>
              </w:rPr>
              <w:t xml:space="preserve">49. § (1) </w:t>
            </w:r>
            <w:r>
              <w:rPr>
                <w:rFonts w:ascii="Times New Roman" w:hAnsi="Times New Roman"/>
                <w:sz w:val="24"/>
                <w:szCs w:val="24"/>
                <w:shd w:val="clear" w:color="auto" w:fill="FFFFFF"/>
              </w:rPr>
              <w:t>a) nyilatkozni a lakásban élők számáról és lakhatásának jogcíméről, valamint benyújtani a bérlőre és a vele együtt lakó személyekre vonatkozóan a 6. § (3) bekezdés 8. és 19. pontja szerinti, valamint a 6. § (4) bekezdés szerinti valamennyi igazolást, illetve nyilatkozatot, továbbá az előző évre vonatkozóan a Nemzeti Adó- és Vámhivatal elektronikus személyes adatszolgáltatási rendszere (Ügyfélportál) szerinti „Magánszemélyek munkáltató által bevallott járulékadatainak lekérdezése” dokumentumot. A „Magánszemélyek munkáltató által bevallott járulékadatainak lekérdezése” dokumentum benyújtása alól mentesül az aki: a társadalombiztosítási ellátásokra (így különösen: öregségi vagy özvegyi nyugdíj) vonatkozóan a Magyar Államkincstár Nyugdíjfolyósító Igazgatóság által kiadott igazolást nyújt be, vagy orvosi igazolással alátámasztja azt, hogy járásképtelen, fekvőbeteg, vagy gondnokolt. A járásképtelen, vagy fekvőbeteg együttköltöző családtag képviseletében a jövedelemre vonatkozó nyilatkozatot a bérlő vagy együttköltöző cselekvőképes hozzátartozója jogosult megtenni, a gondnokság alatt lévő személy esetében a jövedelemre vonatkozó adatokról a kirendelt gondnok jogosult nyilatkozni,</w:t>
            </w:r>
            <w:bookmarkEnd w:id="2"/>
          </w:p>
        </w:tc>
      </w:tr>
      <w:tr>
        <w:tc>
          <w:tcPr>
            <w:tcW w:w="4531" w:type="dxa"/>
          </w:tcPr>
          <w:p>
            <w:pPr>
              <w:rPr>
                <w:rFonts w:ascii="Times New Roman" w:hAnsi="Times New Roman"/>
                <w:bCs w:val="1"/>
                <w:sz w:val="24"/>
                <w:szCs w:val="24"/>
              </w:rPr>
            </w:pPr>
            <w:r>
              <w:rPr>
                <w:rFonts w:ascii="Times New Roman" w:hAnsi="Times New Roman"/>
                <w:sz w:val="24"/>
                <w:szCs w:val="24"/>
                <w:shd w:val="clear" w:color="auto" w:fill="FFFFFF"/>
              </w:rPr>
              <w:t>49. § (3) A (2) bekezdés szerinti felszólítás teljesítésének elmulasztása esetén a bérlő piaci bérleti díjat köteles fizetni azon hónap utolsó napjáig, melyben az (1) bekezdésben foglaltakat teljesíti, erre a jogkövetkezményre a (2) bekezdés szerinti írásbeli felszólításban a bérlő figyelmét fel kell hívni.</w:t>
            </w:r>
          </w:p>
        </w:tc>
        <w:tc>
          <w:tcPr>
            <w:tcW w:w="4531" w:type="dxa"/>
          </w:tcPr>
          <w:p>
            <w:pPr>
              <w:rPr>
                <w:rFonts w:ascii="Times New Roman" w:hAnsi="Times New Roman"/>
                <w:sz w:val="24"/>
                <w:szCs w:val="24"/>
                <w:shd w:val="clear" w:color="auto" w:fill="FFFFFF"/>
              </w:rPr>
            </w:pPr>
            <w:r>
              <w:rPr>
                <w:rFonts w:ascii="Times New Roman" w:hAnsi="Times New Roman"/>
                <w:bCs w:val="1"/>
                <w:sz w:val="24"/>
                <w:szCs w:val="24"/>
              </w:rPr>
              <w:t xml:space="preserve">49. § (3) </w:t>
            </w:r>
            <w:r>
              <w:rPr>
                <w:rFonts w:ascii="Times New Roman" w:hAnsi="Times New Roman"/>
                <w:sz w:val="24"/>
                <w:szCs w:val="24"/>
                <w:shd w:val="clear" w:color="auto" w:fill="FFFFFF"/>
              </w:rPr>
              <w:t>A (2) bekezdés szerinti felszólítás teljesítésének elmulasztása esetén a bérlő költség alapú bérleti díjat köteles fizetni a (2) bekezdés szerinti felszólítás kézhezvételétől számított 90 napot követően.</w:t>
            </w:r>
          </w:p>
        </w:tc>
      </w:tr>
      <w:tr>
        <w:tc>
          <w:tcPr>
            <w:tcW w:w="4531" w:type="dxa"/>
          </w:tcPr>
          <w:p>
            <w:pPr>
              <w:rPr>
                <w:rFonts w:ascii="Times New Roman" w:hAnsi="Times New Roman"/>
                <w:bCs w:val="1"/>
                <w:sz w:val="24"/>
                <w:szCs w:val="24"/>
              </w:rPr>
            </w:pPr>
            <w:r>
              <w:rPr>
                <w:rFonts w:ascii="Times New Roman" w:hAnsi="Times New Roman"/>
                <w:sz w:val="24"/>
                <w:szCs w:val="24"/>
                <w:shd w:val="clear" w:color="auto" w:fill="FFFFFF"/>
              </w:rPr>
              <w:t>50. § A bérleti jogviszony felmondással való megszüntetésére az Ltv. rendelkezései az irányadóak.</w:t>
            </w:r>
          </w:p>
        </w:tc>
        <w:tc>
          <w:tcPr>
            <w:tcW w:w="4531" w:type="dxa"/>
          </w:tcPr>
          <w:p>
            <w:pPr>
              <w:rPr>
                <w:b w:val="1"/>
                <w:i w:val="1"/>
                <w:bCs w:val="1"/>
                <w:iCs w:val="1"/>
              </w:rPr>
            </w:pPr>
            <w:r>
              <w:rPr>
                <w:rFonts w:ascii="Times New Roman" w:hAnsi="Times New Roman"/>
                <w:bCs w:val="1"/>
                <w:sz w:val="24"/>
                <w:szCs w:val="24"/>
              </w:rPr>
              <w:t>50.§ A bérleti jogviszony felmondással való megszüntetésére az Ltv. rendelkezései az irányadóak. A polgármester dönt a bérleti szerződés felmondásáról és a felmondás visszavonásáról.</w:t>
            </w:r>
          </w:p>
        </w:tc>
      </w:tr>
      <w:tr>
        <w:tc>
          <w:tcPr>
            <w:tcW w:w="4531" w:type="dxa"/>
          </w:tcPr>
          <w:p>
            <w:pPr>
              <w:rPr>
                <w:rFonts w:ascii="Times New Roman" w:hAnsi="Times New Roman"/>
                <w:bCs w:val="1"/>
                <w:sz w:val="24"/>
                <w:szCs w:val="24"/>
              </w:rPr>
            </w:pPr>
            <w:r>
              <w:rPr>
                <w:rFonts w:ascii="Times New Roman" w:hAnsi="Times New Roman"/>
                <w:bCs w:val="1"/>
                <w:sz w:val="24"/>
                <w:szCs w:val="24"/>
              </w:rPr>
              <w:t>54. § (1) A lakáscsere szerződés tekintetében az Ltv. rendelkezései az irányadóak.</w:t>
            </w:r>
          </w:p>
          <w:p>
            <w:pPr>
              <w:rPr>
                <w:rFonts w:ascii="Times New Roman" w:hAnsi="Times New Roman"/>
                <w:bCs w:val="1"/>
                <w:sz w:val="24"/>
                <w:szCs w:val="24"/>
              </w:rPr>
            </w:pPr>
            <w:r>
              <w:rPr>
                <w:rFonts w:ascii="Times New Roman" w:hAnsi="Times New Roman"/>
                <w:bCs w:val="1"/>
                <w:sz w:val="24"/>
                <w:szCs w:val="24"/>
              </w:rPr>
              <w:t>(2) Lakáscsere szerződés esetében a polgármester jogosult döntésre.</w:t>
            </w:r>
          </w:p>
        </w:tc>
        <w:tc>
          <w:tcPr>
            <w:tcW w:w="4531" w:type="dxa"/>
          </w:tcPr>
          <w:p>
            <w:pPr>
              <w:rPr>
                <w:rFonts w:ascii="Times New Roman" w:hAnsi="Times New Roman"/>
                <w:bCs w:val="1"/>
                <w:sz w:val="24"/>
                <w:szCs w:val="24"/>
              </w:rPr>
            </w:pPr>
            <w:r>
              <w:rPr>
                <w:rFonts w:ascii="Times New Roman" w:hAnsi="Times New Roman"/>
                <w:sz w:val="24"/>
                <w:szCs w:val="24"/>
                <w:shd w:val="clear" w:color="auto" w:fill="FFFFFF"/>
              </w:rPr>
              <w:t xml:space="preserve">54. § </w:t>
            </w:r>
            <w:r>
              <w:rPr>
                <w:rFonts w:ascii="Times New Roman" w:hAnsi="Times New Roman"/>
                <w:bCs w:val="1"/>
                <w:sz w:val="24"/>
                <w:szCs w:val="24"/>
              </w:rPr>
              <w:t>(1) A lakáscsere szerződés tekintetében az Ltv. rendelkezései az irányadóak.</w:t>
            </w:r>
          </w:p>
          <w:p>
            <w:pPr>
              <w:rPr>
                <w:rFonts w:ascii="Times New Roman" w:hAnsi="Times New Roman"/>
                <w:bCs w:val="1"/>
                <w:sz w:val="24"/>
                <w:szCs w:val="24"/>
              </w:rPr>
            </w:pPr>
            <w:r>
              <w:rPr>
                <w:rFonts w:ascii="Times New Roman" w:hAnsi="Times New Roman"/>
                <w:bCs w:val="1"/>
                <w:sz w:val="24"/>
                <w:szCs w:val="24"/>
              </w:rPr>
              <w:t xml:space="preserve">(2) Lakáscsere szerződés esetében a polgármester jogosult döntésre. </w:t>
            </w:r>
          </w:p>
          <w:p>
            <w:pPr>
              <w:rPr>
                <w:rFonts w:ascii="Times New Roman" w:hAnsi="Times New Roman"/>
                <w:bCs w:val="1"/>
                <w:sz w:val="24"/>
                <w:szCs w:val="24"/>
              </w:rPr>
            </w:pPr>
            <w:r>
              <w:rPr>
                <w:rFonts w:ascii="Times New Roman" w:hAnsi="Times New Roman"/>
                <w:sz w:val="24"/>
                <w:szCs w:val="24"/>
                <w:shd w:val="clear" w:color="auto" w:fill="FFFFFF"/>
              </w:rPr>
              <w:t xml:space="preserve">(3) Nem lehet hozzájárulni a lakáscseréhez, ha a tulajdonjog bejegyzésétől számított 1 év nem telt el, kivéve a Ltv. 29. § (5)-(6) bekezdéseiben foglalt eseteket. </w:t>
            </w:r>
          </w:p>
          <w:p>
            <w:pPr>
              <w:jc w:val="both"/>
              <w:rPr>
                <w:rFonts w:ascii="Times New Roman" w:hAnsi="Times New Roman"/>
                <w:sz w:val="24"/>
                <w:szCs w:val="24"/>
                <w:shd w:val="clear" w:color="auto" w:fill="FFFFFF"/>
              </w:rPr>
            </w:pPr>
            <w:r>
              <w:rPr>
                <w:rFonts w:ascii="Times New Roman" w:hAnsi="Times New Roman"/>
                <w:sz w:val="24"/>
                <w:szCs w:val="24"/>
                <w:shd w:val="clear" w:color="auto" w:fill="FFFFFF"/>
              </w:rPr>
              <w:t>(4) Az Ltv. 29. § (5)-(6) bekezdéseiben foglaltak alátámasztására az egészségügyi ok igazolására szakorvos által kiállított igazolás benyújtása szükséges, a munkahely megváltoztatásáról a korábbi munkaviszony megszűnéséről szóló igazolás és új munkáltató általi foglalkoztatói igazolás vagy szándéknyilatkozat benyújtása szükséges</w:t>
            </w:r>
            <w:r>
              <w:rPr>
                <w:rFonts w:ascii="Times New Roman" w:hAnsi="Times New Roman"/>
                <w:bCs w:val="1"/>
                <w:sz w:val="24"/>
                <w:szCs w:val="24"/>
              </w:rPr>
              <w:t>.</w:t>
            </w:r>
          </w:p>
        </w:tc>
      </w:tr>
      <w:tr>
        <w:tc>
          <w:tcPr>
            <w:tcW w:w="4531" w:type="dxa"/>
            <w:shd w:val="clear" w:color="auto" w:fill="auto"/>
          </w:tcPr>
          <w:p>
            <w:pPr>
              <w:jc w:val="both"/>
              <w:rPr>
                <w:rFonts w:ascii="Times New Roman" w:hAnsi="Times New Roman"/>
                <w:bCs w:val="1"/>
                <w:sz w:val="24"/>
                <w:szCs w:val="24"/>
              </w:rPr>
            </w:pPr>
            <w:r>
              <w:rPr>
                <w:rFonts w:ascii="Times New Roman" w:hAnsi="Times New Roman"/>
                <w:bCs w:val="1"/>
                <w:sz w:val="24"/>
                <w:szCs w:val="24"/>
              </w:rPr>
              <w:t xml:space="preserve">Budapest Főváros XIV. Kerület Zugló Önkormányzata Képviselő-testülete a Budapest Főváros XIV. Kerület Zugló Önkormányzata tulajdonában álló </w:t>
            </w:r>
            <w:r>
              <w:rPr>
                <w:rFonts w:ascii="Times New Roman" w:hAnsi="Times New Roman"/>
                <w:b w:val="1"/>
                <w:sz w:val="24"/>
                <w:szCs w:val="24"/>
              </w:rPr>
              <w:t>lakások bérletének szabályozásáról szóló 9/2024. (IV. 2.) önkormányzati rendelet, 1. melléklet</w:t>
            </w:r>
            <w:r>
              <w:rPr>
                <w:rFonts w:ascii="Times New Roman" w:hAnsi="Times New Roman"/>
                <w:bCs w:val="1"/>
                <w:sz w:val="24"/>
                <w:szCs w:val="24"/>
              </w:rPr>
              <w:t xml:space="preserve"> a 9/2024. (IV. 2.) önkormányzati rendelethez </w:t>
            </w:r>
            <w:r>
              <w:rPr>
                <w:rFonts w:ascii="Times New Roman" w:hAnsi="Times New Roman"/>
                <w:b w:val="1"/>
                <w:sz w:val="24"/>
                <w:szCs w:val="24"/>
              </w:rPr>
              <w:t>adatkezelési tájékoztató,</w:t>
            </w:r>
            <w:r>
              <w:rPr>
                <w:rFonts w:ascii="Times New Roman" w:hAnsi="Times New Roman"/>
                <w:bCs w:val="1"/>
                <w:sz w:val="24"/>
                <w:szCs w:val="24"/>
              </w:rPr>
              <w:t xml:space="preserve"> Budapest Főváros XIV. Kerület Zugló Önkormányzata által kötött </w:t>
            </w:r>
            <w:r>
              <w:rPr>
                <w:rFonts w:ascii="Times New Roman" w:hAnsi="Times New Roman"/>
                <w:b w:val="1"/>
                <w:sz w:val="24"/>
                <w:szCs w:val="24"/>
              </w:rPr>
              <w:t>lakásbérleti szerződések vonatkozásában</w:t>
            </w:r>
          </w:p>
        </w:tc>
        <w:tc>
          <w:tcPr>
            <w:tcW w:w="4531" w:type="dxa"/>
            <w:shd w:val="clear" w:color="auto" w:fill="auto"/>
          </w:tcPr>
          <w:p>
            <w:pPr>
              <w:jc w:val="center"/>
              <w:rPr>
                <w:rFonts w:ascii="Times New Roman" w:hAnsi="Times New Roman"/>
                <w:sz w:val="24"/>
                <w:szCs w:val="24"/>
              </w:rPr>
            </w:pPr>
            <w:r>
              <w:rPr>
                <w:rFonts w:ascii="Times New Roman" w:hAnsi="Times New Roman"/>
                <w:sz w:val="24"/>
                <w:szCs w:val="24"/>
              </w:rPr>
              <w:t>Tervezet szerint</w:t>
            </w:r>
          </w:p>
        </w:tc>
      </w:tr>
      <w:tr>
        <w:tc>
          <w:tcPr>
            <w:tcW w:w="4531" w:type="dxa"/>
            <w:shd w:val="clear" w:color="auto" w:fill="auto"/>
          </w:tcPr>
          <w:p>
            <w:pPr>
              <w:jc w:val="both"/>
            </w:pPr>
            <w:r>
              <w:rPr>
                <w:rFonts w:ascii="Times New Roman" w:hAnsi="Times New Roman"/>
                <w:bCs w:val="1"/>
                <w:sz w:val="24"/>
                <w:szCs w:val="24"/>
              </w:rPr>
              <w:t xml:space="preserve">Budapest Főváros XIV. Kerület Zugló Önkormányzata Képviselő-testülete a Budapest Főváros XIV. Kerület Zugló Önkormányzata tulajdonában álló </w:t>
            </w:r>
            <w:r>
              <w:rPr>
                <w:rFonts w:ascii="Times New Roman" w:hAnsi="Times New Roman"/>
                <w:b w:val="1"/>
                <w:bCs w:val="1"/>
                <w:sz w:val="24"/>
                <w:szCs w:val="24"/>
              </w:rPr>
              <w:t xml:space="preserve">lakások bérletének szabályozásáról szóló 9/2024. (IV. 2.) önkormányzati rendelet, 2. melléklet </w:t>
            </w:r>
            <w:r>
              <w:rPr>
                <w:rFonts w:ascii="Times New Roman" w:hAnsi="Times New Roman"/>
                <w:sz w:val="24"/>
                <w:szCs w:val="24"/>
              </w:rPr>
              <w:t>a 9/2024. (IV. 2.) önkormányzati rendelethez „</w:t>
            </w:r>
            <w:r>
              <w:rPr>
                <w:rFonts w:ascii="Times New Roman" w:hAnsi="Times New Roman"/>
                <w:b w:val="1"/>
                <w:sz w:val="24"/>
                <w:szCs w:val="24"/>
              </w:rPr>
              <w:t>Lakáshasznosítási terv</w:t>
            </w:r>
            <w:r>
              <w:rPr>
                <w:rFonts w:ascii="Times New Roman" w:hAnsi="Times New Roman"/>
                <w:sz w:val="24"/>
                <w:szCs w:val="24"/>
              </w:rPr>
              <w:t>” című táblázat.</w:t>
            </w:r>
          </w:p>
        </w:tc>
        <w:tc>
          <w:tcPr>
            <w:tcW w:w="4531" w:type="dxa"/>
            <w:shd w:val="clear" w:color="auto" w:fill="auto"/>
          </w:tcPr>
          <w:p>
            <w:pPr>
              <w:jc w:val="center"/>
              <w:rPr>
                <w:rFonts w:ascii="Times New Roman" w:hAnsi="Times New Roman"/>
                <w:sz w:val="24"/>
                <w:szCs w:val="24"/>
              </w:rPr>
            </w:pPr>
            <w:r>
              <w:rPr>
                <w:rFonts w:ascii="Times New Roman" w:hAnsi="Times New Roman"/>
                <w:sz w:val="24"/>
                <w:szCs w:val="24"/>
              </w:rPr>
              <w:t>Tervezet szerint</w:t>
            </w:r>
          </w:p>
        </w:tc>
      </w:tr>
      <w:tr>
        <w:tc>
          <w:tcPr>
            <w:tcW w:w="4531" w:type="dxa"/>
            <w:shd w:val="clear" w:color="auto" w:fill="auto"/>
          </w:tcPr>
          <w:p>
            <w:pPr>
              <w:jc w:val="both"/>
              <w:rPr>
                <w:rFonts w:ascii="Times New Roman" w:hAnsi="Times New Roman"/>
                <w:bCs w:val="1"/>
                <w:sz w:val="24"/>
                <w:szCs w:val="24"/>
              </w:rPr>
            </w:pPr>
            <w:r>
              <w:rPr>
                <w:rFonts w:ascii="Times New Roman" w:hAnsi="Times New Roman"/>
                <w:bCs w:val="1"/>
                <w:sz w:val="24"/>
                <w:szCs w:val="24"/>
              </w:rPr>
              <w:t>14. § (2) A használati díj mértéke a bérleti díjjal egyező mértékű azon jogcím nélküli lakáshasználó esetén, aki adósságkezelési szolgáltatásban vesz részt vagy részletfizetési megállapodást kötött, vagy fizetési kedvezményben részesül, és az ezekben foglalt fizetési kötelezettségeit maradéktalanul teljesíti, feltéve, ha ezt hitelt érdemlően igazolja a Polgármesteri Hivatal felé.</w:t>
            </w:r>
          </w:p>
        </w:tc>
        <w:tc>
          <w:tcPr>
            <w:tcW w:w="4531" w:type="dxa"/>
            <w:shd w:val="clear" w:color="auto" w:fill="auto"/>
          </w:tcPr>
          <w:p>
            <w:pPr>
              <w:jc w:val="center"/>
              <w:rPr>
                <w:rFonts w:ascii="Times New Roman" w:hAnsi="Times New Roman"/>
                <w:sz w:val="24"/>
                <w:szCs w:val="24"/>
              </w:rPr>
            </w:pPr>
            <w:r>
              <w:rPr>
                <w:rFonts w:ascii="Times New Roman" w:hAnsi="Times New Roman"/>
                <w:sz w:val="24"/>
                <w:szCs w:val="24"/>
              </w:rPr>
              <w:t>Hatályát veszti</w:t>
            </w:r>
          </w:p>
        </w:tc>
      </w:tr>
      <w:tr>
        <w:tc>
          <w:tcPr>
            <w:tcW w:w="4531" w:type="dxa"/>
            <w:shd w:val="clear" w:color="auto" w:fill="auto"/>
          </w:tcPr>
          <w:p>
            <w:pPr>
              <w:jc w:val="both"/>
              <w:rPr>
                <w:rFonts w:ascii="Times New Roman" w:hAnsi="Times New Roman"/>
                <w:bCs w:val="1"/>
                <w:sz w:val="24"/>
                <w:szCs w:val="24"/>
              </w:rPr>
            </w:pPr>
            <w:r>
              <w:rPr>
                <w:rFonts w:ascii="Times New Roman" w:hAnsi="Times New Roman"/>
                <w:bCs w:val="1"/>
                <w:sz w:val="24"/>
                <w:szCs w:val="24"/>
              </w:rPr>
              <w:t>51. § (13) A kérelmező a pontszáma kialakítását érintő körülmény változásáról harminc napon belül köteles írásban értesíteni a Polgármesteri Hivatalt. A Polgármesteri Hivatal évente egy alkalommal tájékoztatást ad a kérelmezőnek a kérelmezők közötti rangsorban fennálló helyezéséről.</w:t>
            </w:r>
          </w:p>
        </w:tc>
        <w:tc>
          <w:tcPr>
            <w:tcW w:w="4531" w:type="dxa"/>
            <w:shd w:val="clear" w:color="auto" w:fill="auto"/>
          </w:tcPr>
          <w:p>
            <w:pPr>
              <w:jc w:val="center"/>
              <w:rPr>
                <w:rFonts w:ascii="Times New Roman" w:hAnsi="Times New Roman"/>
                <w:sz w:val="24"/>
                <w:szCs w:val="24"/>
              </w:rPr>
            </w:pPr>
            <w:r>
              <w:rPr>
                <w:rFonts w:ascii="Times New Roman" w:hAnsi="Times New Roman"/>
                <w:sz w:val="24"/>
                <w:szCs w:val="24"/>
              </w:rPr>
              <w:t>Hatályát veszti</w:t>
            </w:r>
          </w:p>
        </w:tc>
      </w:tr>
      <w:tr>
        <w:tc>
          <w:tcPr>
            <w:tcW w:w="4531" w:type="dxa"/>
            <w:shd w:val="clear" w:color="auto" w:fill="auto"/>
          </w:tcPr>
          <w:p>
            <w:pPr>
              <w:jc w:val="both"/>
              <w:rPr>
                <w:rFonts w:ascii="Times New Roman" w:hAnsi="Times New Roman"/>
                <w:bCs w:val="1"/>
                <w:sz w:val="24"/>
                <w:szCs w:val="24"/>
              </w:rPr>
            </w:pPr>
            <w:r>
              <w:rPr>
                <w:rFonts w:ascii="Times New Roman" w:hAnsi="Times New Roman"/>
                <w:sz w:val="24"/>
                <w:szCs w:val="24"/>
              </w:rPr>
              <w:t>Budapest Főváros XIV. Kerület Zugló Önkormányzat Képviselő-testülete szervezeti és működési szabályzatáról szóló 15/2019. (XI. 7.) önkormányzati rendelet 2. melléklete</w:t>
            </w:r>
          </w:p>
        </w:tc>
        <w:tc>
          <w:tcPr>
            <w:tcW w:w="4531" w:type="dxa"/>
            <w:shd w:val="clear" w:color="auto" w:fill="auto"/>
          </w:tcPr>
          <w:p>
            <w:pPr>
              <w:jc w:val="center"/>
              <w:rPr>
                <w:rFonts w:ascii="Times New Roman" w:hAnsi="Times New Roman"/>
                <w:sz w:val="24"/>
                <w:szCs w:val="24"/>
              </w:rPr>
            </w:pPr>
            <w:r>
              <w:rPr>
                <w:rFonts w:ascii="Times New Roman" w:hAnsi="Times New Roman"/>
                <w:sz w:val="24"/>
                <w:szCs w:val="24"/>
              </w:rPr>
              <w:t>Tervezet szerint</w:t>
            </w:r>
          </w:p>
        </w:tc>
      </w:tr>
      <w:tr>
        <w:tc>
          <w:tcPr>
            <w:tcW w:w="4531" w:type="dxa"/>
            <w:shd w:val="clear" w:color="auto" w:fill="auto"/>
          </w:tcPr>
          <w:p>
            <w:pPr>
              <w:jc w:val="both"/>
              <w:rPr>
                <w:rFonts w:ascii="Times New Roman" w:hAnsi="Times New Roman"/>
                <w:bCs w:val="1"/>
                <w:sz w:val="24"/>
                <w:szCs w:val="24"/>
              </w:rPr>
            </w:pPr>
            <w:r>
              <w:rPr>
                <w:rFonts w:ascii="Times New Roman" w:hAnsi="Times New Roman"/>
                <w:sz w:val="24"/>
                <w:szCs w:val="24"/>
              </w:rPr>
              <w:t>Budapest Főváros XIV. Kerület Zugló Önkormányzat Képviselő-testülete szervezeti és működési szabályzatáról szóló 15/2019. (XI. 7.) önkormányzati rendelet 7. melléklete</w:t>
            </w:r>
          </w:p>
        </w:tc>
        <w:tc>
          <w:tcPr>
            <w:tcW w:w="4531" w:type="dxa"/>
            <w:shd w:val="clear" w:color="auto" w:fill="auto"/>
          </w:tcPr>
          <w:p>
            <w:pPr>
              <w:jc w:val="center"/>
              <w:rPr>
                <w:rFonts w:ascii="Times New Roman" w:hAnsi="Times New Roman"/>
                <w:sz w:val="24"/>
                <w:szCs w:val="24"/>
              </w:rPr>
            </w:pPr>
            <w:r>
              <w:rPr>
                <w:rFonts w:ascii="Times New Roman" w:hAnsi="Times New Roman"/>
                <w:sz w:val="24"/>
                <w:szCs w:val="24"/>
              </w:rPr>
              <w:t>Tervezet szerint</w:t>
            </w:r>
          </w:p>
        </w:tc>
      </w:tr>
    </w:tbl>
    <w:p/>
    <w:p/>
    <w:sectPr>
      <w:headerReference xmlns:r="http://schemas.openxmlformats.org/officeDocument/2006/relationships" w:type="default" r:id="RelHdr1"/>
      <w:type w:val="nextPage"/>
      <w:pgSz w:w="11906" w:h="16838" w:code="0"/>
      <w:pgMar w:left="1417" w:right="1417" w:top="1417" w:bottom="1417"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jc w:val="right"/>
    </w:pPr>
    <w:r>
      <w:rPr>
        <w:rFonts w:ascii="Times New Roman" w:hAnsi="Times New Roman"/>
        <w:sz w:val="24"/>
        <w:szCs w:val="24"/>
      </w:rPr>
      <w:t>3. melléklet a 123-</w:t>
    </w:r>
    <w:r>
      <w:rPr>
        <w:rFonts w:ascii="Times New Roman" w:hAnsi="Times New Roman"/>
        <w:sz w:val="24"/>
        <w:szCs w:val="22"/>
      </w:rPr>
      <w:t>282</w:t>
    </w:r>
    <w:r>
      <w:rPr>
        <w:rFonts w:ascii="Times New Roman" w:hAnsi="Times New Roman"/>
        <w:sz w:val="24"/>
        <w:szCs w:val="24"/>
      </w:rPr>
      <w:t>/2025 előterjesztéshez</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hu-HU"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pPr>
    </w:pPrDefault>
  </w:docDefaults>
  <w:style w:type="paragraph" w:styleId="P0" w:default="1">
    <w:name w:val="Normal"/>
    <w:qFormat/>
    <w:pPr/>
    <w:rPr/>
  </w:style>
  <w:style w:type="paragraph" w:styleId="P1">
    <w:name w:val="List Paragraph"/>
    <w:basedOn w:val="P0"/>
    <w:qFormat/>
    <w:pPr>
      <w:spacing w:lineRule="auto" w:line="276" w:after="0" w:beforeAutospacing="0" w:afterAutospacing="0"/>
      <w:ind w:left="720"/>
      <w:contextualSpacing w:val="1"/>
    </w:pPr>
    <w:rPr>
      <w:rFonts w:ascii="Arial" w:hAnsi="Arial"/>
      <w:lang w:val="hu" w:eastAsia="hu-HU"/>
    </w:rPr>
  </w:style>
  <w:style w:type="paragraph" w:styleId="P2">
    <w:name w:val="header"/>
    <w:basedOn w:val="P0"/>
    <w:link w:val="C3"/>
    <w:pPr>
      <w:tabs>
        <w:tab w:val="center" w:pos="4536" w:leader="none"/>
        <w:tab w:val="right" w:pos="9072" w:leader="none"/>
      </w:tabs>
      <w:spacing w:lineRule="auto" w:line="240" w:after="0" w:beforeAutospacing="0" w:afterAutospacing="0"/>
    </w:pPr>
    <w:rPr/>
  </w:style>
  <w:style w:type="paragraph" w:styleId="P3">
    <w:name w:val="footer"/>
    <w:basedOn w:val="P0"/>
    <w:link w:val="C4"/>
    <w:pPr>
      <w:tabs>
        <w:tab w:val="center" w:pos="4536" w:leader="none"/>
        <w:tab w:val="right" w:pos="9072"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Élőfej Char"/>
    <w:basedOn w:val="C0"/>
    <w:link w:val="P2"/>
    <w:rPr/>
  </w:style>
  <w:style w:type="character" w:styleId="C4">
    <w:name w:val="Élőláb Char"/>
    <w:basedOn w:val="C0"/>
    <w:link w:val="P3"/>
    <w:rPr/>
  </w:style>
  <w:style w:type="character" w:styleId="C5">
    <w:name w:val="Feloldatlan megemlítés1"/>
    <w:basedOn w:val="C0"/>
    <w:semiHidden/>
    <w:rPr>
      <w:color w:val="605E5C"/>
      <w:shd w:val="clear" w:color="auto" w:fill="E1DFDD"/>
    </w:rPr>
  </w:style>
  <w:style w:type="character" w:styleId="C6">
    <w:name w:val="Feloldatlan megemlítés2"/>
    <w:basedOn w:val="C0"/>
    <w:semiHidden/>
    <w:rPr>
      <w:color w:val="605E5C"/>
      <w:shd w:val="clear" w:color="auto" w:fill="E1DFDD"/>
    </w:rPr>
  </w:style>
  <w:style w:type="character" w:styleId="C7">
    <w:name w:val="Feloldatlan megemlítés3"/>
    <w:basedOn w:val="C0"/>
    <w:semiHidden/>
    <w:rPr>
      <w:color w:val="605E5C"/>
      <w:shd w:val="clear" w:color="auto" w:fill="E1DFDD"/>
    </w:rPr>
  </w:style>
  <w:style w:type="character" w:styleId="C8">
    <w:name w:val="Unresolved Mention"/>
    <w:basedOn w:val="C0"/>
    <w:semiHidden/>
    <w:rPr>
      <w:color w:val="605E5C"/>
      <w:shd w:val="clear" w:color="auto" w:fill="E1DFDD"/>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Török Kata dr.</dc:creator>
  <dcterms:created xsi:type="dcterms:W3CDTF">2025-04-10T09:21:00Z</dcterms:created>
  <cp:lastModifiedBy>IIS APPPOOL\testulet</cp:lastModifiedBy>
  <dcterms:modified xsi:type="dcterms:W3CDTF">2025-04-11T09:47:04Z</dcterms:modified>
  <cp:revision>7</cp:revision>
</cp:coreProperties>
</file>