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803A3" w14:textId="77777777" w:rsidR="00CC1516" w:rsidRDefault="00CC1516" w:rsidP="00F67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ABB7C5" w14:textId="7B29E920" w:rsidR="0063229E" w:rsidRDefault="00653D5B" w:rsidP="00CC1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VÁLLALKOZÁSI (</w:t>
      </w:r>
      <w:r w:rsidR="00CC1516">
        <w:rPr>
          <w:rFonts w:ascii="Times New Roman" w:hAnsi="Times New Roman" w:cs="Times New Roman"/>
          <w:b/>
          <w:sz w:val="24"/>
          <w:szCs w:val="24"/>
        </w:rPr>
        <w:t>KIVITELEZÉSI</w:t>
      </w:r>
      <w:r w:rsidR="00BD2D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ÉS TERVEZÉSI) </w:t>
      </w:r>
      <w:r w:rsidR="00BD2DD2">
        <w:rPr>
          <w:rFonts w:ascii="Times New Roman" w:hAnsi="Times New Roman" w:cs="Times New Roman"/>
          <w:b/>
          <w:sz w:val="24"/>
          <w:szCs w:val="24"/>
        </w:rPr>
        <w:t>SZERZŐDÉS</w:t>
      </w:r>
    </w:p>
    <w:p w14:paraId="18E62CDC" w14:textId="3B00773B" w:rsidR="00BD2DD2" w:rsidRPr="00CC1516" w:rsidRDefault="002A154A" w:rsidP="00AD321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D2DD2" w:rsidRPr="002A154A">
        <w:rPr>
          <w:rFonts w:ascii="Times New Roman" w:hAnsi="Times New Roman" w:cs="Times New Roman"/>
          <w:b/>
          <w:sz w:val="24"/>
          <w:szCs w:val="24"/>
        </w:rPr>
        <w:t>sz. módosítása</w:t>
      </w:r>
    </w:p>
    <w:p w14:paraId="7A8D75BC" w14:textId="77777777" w:rsidR="00CC1516" w:rsidRPr="00CC1516" w:rsidRDefault="00CC1516" w:rsidP="00CC1516">
      <w:pPr>
        <w:rPr>
          <w:rFonts w:cs="Times New Roman"/>
          <w:sz w:val="24"/>
          <w:szCs w:val="24"/>
        </w:rPr>
      </w:pPr>
    </w:p>
    <w:p w14:paraId="128E971E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 szerződésmódosítás (a továbbiakban: </w:t>
      </w:r>
      <w:r w:rsidRPr="008B3D11">
        <w:rPr>
          <w:rFonts w:ascii="Times New Roman" w:hAnsi="Times New Roman" w:cs="Times New Roman"/>
          <w:b/>
          <w:bCs/>
          <w:sz w:val="24"/>
          <w:szCs w:val="24"/>
        </w:rPr>
        <w:t>Szerződésmódosítás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589780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FE3F" w14:textId="49C6C7F3" w:rsidR="004766CD" w:rsidRPr="00DA0E9B" w:rsidRDefault="00BD2DD2" w:rsidP="006B4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E11">
        <w:rPr>
          <w:rFonts w:ascii="Times New Roman" w:hAnsi="Times New Roman" w:cs="Times New Roman"/>
          <w:sz w:val="24"/>
          <w:szCs w:val="24"/>
        </w:rPr>
        <w:t>amely létrejött egyrészről a</w:t>
      </w:r>
    </w:p>
    <w:p w14:paraId="0626CCCF" w14:textId="3650A977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Név, megnevezés: </w:t>
      </w:r>
      <w:r w:rsidR="00653D5B" w:rsidRPr="00653D5B">
        <w:rPr>
          <w:rFonts w:ascii="Times New Roman" w:hAnsi="Times New Roman" w:cs="Times New Roman"/>
          <w:b/>
          <w:color w:val="000000"/>
          <w:sz w:val="24"/>
          <w:szCs w:val="24"/>
        </w:rPr>
        <w:t>Budapest Főváros XIV. Kerület Zugló Önkormányzata</w:t>
      </w:r>
    </w:p>
    <w:p w14:paraId="198BD175" w14:textId="051B8E86" w:rsidR="00D03E2A" w:rsidRDefault="00D03E2A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>Cím, székhely:</w:t>
      </w:r>
      <w:r w:rsidRPr="00BB06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3D5B" w:rsidRPr="00653D5B">
        <w:rPr>
          <w:rFonts w:ascii="Times New Roman" w:hAnsi="Times New Roman" w:cs="Times New Roman"/>
          <w:bCs/>
          <w:color w:val="000000"/>
          <w:sz w:val="24"/>
          <w:szCs w:val="24"/>
        </w:rPr>
        <w:t>1145 Budapest, Pétervárad utca 2.</w:t>
      </w:r>
    </w:p>
    <w:p w14:paraId="0D376102" w14:textId="2175CE65" w:rsidR="00653D5B" w:rsidRPr="00BB0673" w:rsidRDefault="00653D5B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D5B">
        <w:rPr>
          <w:rFonts w:ascii="Times New Roman" w:hAnsi="Times New Roman" w:cs="Times New Roman"/>
          <w:color w:val="000000"/>
          <w:sz w:val="24"/>
          <w:szCs w:val="24"/>
        </w:rPr>
        <w:t>Törzskönyvi azonosító: (PIR): 735771</w:t>
      </w:r>
    </w:p>
    <w:p w14:paraId="6EB11D21" w14:textId="77777777" w:rsidR="00653D5B" w:rsidRDefault="00D03E2A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Adószám: </w:t>
      </w:r>
      <w:r w:rsidR="00653D5B" w:rsidRPr="00653D5B">
        <w:rPr>
          <w:rFonts w:ascii="Times New Roman" w:hAnsi="Times New Roman" w:cs="Times New Roman"/>
          <w:bCs/>
          <w:color w:val="000000"/>
          <w:sz w:val="24"/>
          <w:szCs w:val="24"/>
        </w:rPr>
        <w:t>15735777-2-42</w:t>
      </w:r>
    </w:p>
    <w:p w14:paraId="6CD51242" w14:textId="357C282C" w:rsidR="00D03E2A" w:rsidRDefault="00D03E2A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Pénzforgalmi számlaszám: </w:t>
      </w:r>
      <w:r w:rsidR="00653D5B" w:rsidRPr="00653D5B">
        <w:rPr>
          <w:rFonts w:ascii="Times New Roman" w:hAnsi="Times New Roman" w:cs="Times New Roman"/>
          <w:bCs/>
          <w:color w:val="000000"/>
          <w:sz w:val="24"/>
          <w:szCs w:val="24"/>
        </w:rPr>
        <w:t>11784009-15514004</w:t>
      </w:r>
    </w:p>
    <w:p w14:paraId="771DF639" w14:textId="30BF76F6" w:rsidR="00653D5B" w:rsidRPr="00BB0673" w:rsidRDefault="00653D5B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D5B">
        <w:rPr>
          <w:rFonts w:ascii="Times New Roman" w:hAnsi="Times New Roman" w:cs="Times New Roman"/>
          <w:color w:val="000000"/>
          <w:sz w:val="24"/>
          <w:szCs w:val="24"/>
        </w:rPr>
        <w:t>KSH statisztikai számjel: 15735777-8411-321-01</w:t>
      </w:r>
    </w:p>
    <w:p w14:paraId="452A5E12" w14:textId="733AB63B" w:rsidR="00D03E2A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Képviseletében eljáró személy neve, megnevezése: </w:t>
      </w:r>
      <w:r w:rsidR="00653D5B" w:rsidRPr="00653D5B">
        <w:rPr>
          <w:rFonts w:ascii="Times New Roman" w:hAnsi="Times New Roman" w:cs="Times New Roman"/>
          <w:color w:val="000000"/>
          <w:sz w:val="24"/>
          <w:szCs w:val="24"/>
        </w:rPr>
        <w:t>Horváth Csaba polgármester</w:t>
      </w:r>
    </w:p>
    <w:p w14:paraId="2E6DEDEB" w14:textId="4DA7D1ED" w:rsidR="0063087F" w:rsidRPr="00BB0673" w:rsidRDefault="0063087F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087F">
        <w:rPr>
          <w:rFonts w:ascii="Times New Roman" w:hAnsi="Times New Roman" w:cs="Times New Roman"/>
          <w:bCs/>
          <w:color w:val="000000"/>
          <w:sz w:val="24"/>
          <w:szCs w:val="24"/>
        </w:rPr>
        <w:t>Naplóügyfél-jel (NÜJ):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109356149</w:t>
      </w:r>
    </w:p>
    <w:p w14:paraId="74AC167F" w14:textId="6623C1DB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>mint</w:t>
      </w:r>
      <w:r w:rsidR="00653D5B">
        <w:rPr>
          <w:rFonts w:ascii="Times New Roman" w:hAnsi="Times New Roman" w:cs="Times New Roman"/>
          <w:color w:val="000000"/>
          <w:sz w:val="24"/>
          <w:szCs w:val="24"/>
        </w:rPr>
        <w:t xml:space="preserve"> Megrendelő</w:t>
      </w: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 - a továbbiakban: „</w:t>
      </w:r>
      <w:r w:rsidRPr="00BB0673">
        <w:rPr>
          <w:rFonts w:ascii="Times New Roman" w:hAnsi="Times New Roman" w:cs="Times New Roman"/>
          <w:b/>
          <w:color w:val="000000"/>
          <w:sz w:val="24"/>
          <w:szCs w:val="24"/>
        </w:rPr>
        <w:t>Megrendelő”</w:t>
      </w:r>
    </w:p>
    <w:p w14:paraId="7420E6D0" w14:textId="77777777" w:rsidR="00DA0E9B" w:rsidRDefault="00DA0E9B" w:rsidP="006B4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87484" w14:textId="69F19E79" w:rsidR="004766CD" w:rsidRDefault="00DF7087" w:rsidP="006B4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E11">
        <w:rPr>
          <w:rFonts w:ascii="Times New Roman" w:hAnsi="Times New Roman" w:cs="Times New Roman"/>
          <w:color w:val="000000"/>
          <w:sz w:val="24"/>
          <w:szCs w:val="24"/>
        </w:rPr>
        <w:t>másrészről pedig:</w:t>
      </w:r>
    </w:p>
    <w:p w14:paraId="2EE91167" w14:textId="6807EC49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bCs/>
          <w:color w:val="000000"/>
          <w:sz w:val="24"/>
          <w:szCs w:val="24"/>
        </w:rPr>
        <w:t>Név, megnevezés</w:t>
      </w: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53D5B" w:rsidRPr="00653D5B">
        <w:rPr>
          <w:rFonts w:ascii="Times New Roman" w:hAnsi="Times New Roman" w:cs="Times New Roman"/>
          <w:b/>
          <w:color w:val="000000"/>
          <w:sz w:val="24"/>
          <w:szCs w:val="24"/>
        </w:rPr>
        <w:t>Pesti Építő Zártkörűen Működő Részvénytársaság</w:t>
      </w:r>
    </w:p>
    <w:p w14:paraId="3E4D60AE" w14:textId="49BCBD03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Cím, székhely: </w:t>
      </w:r>
      <w:r w:rsidR="00653D5B" w:rsidRPr="00653D5B">
        <w:rPr>
          <w:rFonts w:ascii="Times New Roman" w:hAnsi="Times New Roman" w:cs="Times New Roman"/>
          <w:bCs/>
          <w:color w:val="000000"/>
          <w:sz w:val="24"/>
          <w:szCs w:val="24"/>
        </w:rPr>
        <w:t>1112 Budapest, Rózsatő Utca 10.</w:t>
      </w:r>
    </w:p>
    <w:p w14:paraId="3982B8E5" w14:textId="11CF979D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85D">
        <w:rPr>
          <w:rFonts w:ascii="Times New Roman" w:hAnsi="Times New Roman" w:cs="Times New Roman"/>
          <w:color w:val="000000"/>
          <w:sz w:val="24"/>
          <w:szCs w:val="24"/>
        </w:rPr>
        <w:t xml:space="preserve">Elérhetőség: </w:t>
      </w:r>
      <w:r w:rsidR="0063087F" w:rsidRPr="0063087F">
        <w:rPr>
          <w:rFonts w:ascii="Times New Roman" w:hAnsi="Times New Roman" w:cs="Times New Roman"/>
          <w:color w:val="000000"/>
          <w:sz w:val="24"/>
          <w:szCs w:val="24"/>
        </w:rPr>
        <w:t>30-3507709</w:t>
      </w:r>
    </w:p>
    <w:p w14:paraId="295CDD53" w14:textId="77777777" w:rsidR="0063087F" w:rsidRDefault="00D03E2A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Adószám: </w:t>
      </w:r>
      <w:r w:rsidR="0063087F" w:rsidRPr="0063087F">
        <w:rPr>
          <w:rFonts w:ascii="Times New Roman" w:hAnsi="Times New Roman" w:cs="Times New Roman"/>
          <w:bCs/>
          <w:color w:val="000000"/>
          <w:sz w:val="24"/>
          <w:szCs w:val="24"/>
        </w:rPr>
        <w:t>14400276-2-43</w:t>
      </w:r>
    </w:p>
    <w:p w14:paraId="6C9FE07D" w14:textId="041C576B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Vállalkozó kivitelezők nyilvántartása szerinti nyilvántartási száma: </w:t>
      </w:r>
      <w:r w:rsidR="0063087F" w:rsidRPr="0063087F">
        <w:rPr>
          <w:rFonts w:ascii="Times New Roman" w:hAnsi="Times New Roman" w:cs="Times New Roman"/>
          <w:bCs/>
          <w:color w:val="000000"/>
          <w:sz w:val="24"/>
          <w:szCs w:val="24"/>
        </w:rPr>
        <w:t>26A37853</w:t>
      </w:r>
    </w:p>
    <w:p w14:paraId="4C741E4F" w14:textId="1DBCC454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85D">
        <w:rPr>
          <w:rFonts w:ascii="Times New Roman" w:hAnsi="Times New Roman" w:cs="Times New Roman"/>
          <w:color w:val="000000"/>
          <w:sz w:val="24"/>
          <w:szCs w:val="24"/>
        </w:rPr>
        <w:t xml:space="preserve">Képviseletében eljáró személy neve, megnevezése címe/székhelye: </w:t>
      </w:r>
      <w:r w:rsidR="0063087F" w:rsidRPr="0063087F">
        <w:rPr>
          <w:rFonts w:ascii="Times New Roman" w:hAnsi="Times New Roman" w:cs="Times New Roman"/>
          <w:color w:val="000000"/>
          <w:sz w:val="24"/>
          <w:szCs w:val="24"/>
        </w:rPr>
        <w:t>Túri Árpád Pál vezérigazgató</w:t>
      </w:r>
      <w:r w:rsidR="006308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3087F" w:rsidRPr="0063087F">
        <w:rPr>
          <w:rFonts w:ascii="Times New Roman" w:hAnsi="Times New Roman" w:cs="Times New Roman"/>
          <w:color w:val="000000"/>
          <w:sz w:val="24"/>
          <w:szCs w:val="24"/>
        </w:rPr>
        <w:t>1112 Budapest, Rózsatő u. 10.</w:t>
      </w:r>
      <w:r w:rsidR="0063087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DBBA321" w14:textId="77777777" w:rsidR="00D03E2A" w:rsidRPr="00BB0673" w:rsidRDefault="00D03E2A" w:rsidP="00F250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Nyilvántartó cégbíróság neve: </w:t>
      </w:r>
      <w:r w:rsidRPr="00C13D56">
        <w:rPr>
          <w:rFonts w:ascii="Times New Roman" w:hAnsi="Times New Roman" w:cs="Times New Roman"/>
          <w:bCs/>
          <w:color w:val="000000"/>
          <w:sz w:val="24"/>
          <w:szCs w:val="24"/>
        </w:rPr>
        <w:t>Fővárosi Törvényszék Cégbírósága</w:t>
      </w:r>
    </w:p>
    <w:p w14:paraId="1C35932B" w14:textId="77777777" w:rsidR="0063087F" w:rsidRDefault="00D03E2A" w:rsidP="00F250B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 xml:space="preserve">Cégjegyzékszám: </w:t>
      </w:r>
      <w:r w:rsidR="0063087F" w:rsidRPr="0063087F">
        <w:rPr>
          <w:rFonts w:ascii="Times New Roman" w:hAnsi="Times New Roman" w:cs="Times New Roman"/>
          <w:bCs/>
          <w:color w:val="000000"/>
          <w:sz w:val="24"/>
          <w:szCs w:val="24"/>
        </w:rPr>
        <w:t>01-10-047520</w:t>
      </w:r>
    </w:p>
    <w:p w14:paraId="02659DB5" w14:textId="77777777" w:rsidR="0063087F" w:rsidRPr="0063087F" w:rsidRDefault="00D03E2A" w:rsidP="00630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85D">
        <w:rPr>
          <w:rFonts w:ascii="Times New Roman" w:hAnsi="Times New Roman" w:cs="Times New Roman"/>
          <w:color w:val="000000"/>
          <w:sz w:val="24"/>
          <w:szCs w:val="24"/>
        </w:rPr>
        <w:t xml:space="preserve">Pénzforgalmi számlaszám: </w:t>
      </w:r>
      <w:r w:rsidR="0063087F" w:rsidRPr="0063087F">
        <w:rPr>
          <w:rFonts w:ascii="Times New Roman" w:hAnsi="Times New Roman" w:cs="Times New Roman"/>
          <w:sz w:val="24"/>
          <w:szCs w:val="24"/>
        </w:rPr>
        <w:t>CIB Bank Zrt.</w:t>
      </w:r>
      <w:r w:rsidR="0063087F" w:rsidRPr="006308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3087F" w:rsidRPr="0063087F">
        <w:rPr>
          <w:rFonts w:ascii="Times New Roman" w:hAnsi="Times New Roman" w:cs="Times New Roman"/>
          <w:sz w:val="24"/>
          <w:szCs w:val="24"/>
        </w:rPr>
        <w:t>10700543-48104308-51100005</w:t>
      </w:r>
    </w:p>
    <w:p w14:paraId="0F5FCFB8" w14:textId="7F4CD05B" w:rsidR="0063087F" w:rsidRDefault="0063087F" w:rsidP="00630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7F">
        <w:rPr>
          <w:rFonts w:ascii="Times New Roman" w:hAnsi="Times New Roman" w:cs="Times New Roman"/>
          <w:sz w:val="24"/>
          <w:szCs w:val="24"/>
        </w:rPr>
        <w:t xml:space="preserve">                                             MKB BANK ZRT 10300002-13223516-00014884</w:t>
      </w:r>
    </w:p>
    <w:p w14:paraId="40E226E6" w14:textId="77777777" w:rsidR="0063087F" w:rsidRPr="0063087F" w:rsidRDefault="0063087F" w:rsidP="006308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D18A80" w14:textId="41E7C343" w:rsidR="00F250B8" w:rsidRPr="00F250B8" w:rsidRDefault="00D03E2A" w:rsidP="0063087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673">
        <w:rPr>
          <w:rFonts w:ascii="Times New Roman" w:hAnsi="Times New Roman" w:cs="Times New Roman"/>
          <w:color w:val="000000"/>
          <w:sz w:val="24"/>
          <w:szCs w:val="24"/>
        </w:rPr>
        <w:t>mint Vállalkozó kivitelező - a továbbiakban: „</w:t>
      </w:r>
      <w:r w:rsidRPr="00BB0673">
        <w:rPr>
          <w:rFonts w:ascii="Times New Roman" w:hAnsi="Times New Roman" w:cs="Times New Roman"/>
          <w:b/>
          <w:color w:val="000000"/>
          <w:sz w:val="24"/>
          <w:szCs w:val="24"/>
        </w:rPr>
        <w:t>Vállalkozó”</w:t>
      </w:r>
    </w:p>
    <w:p w14:paraId="5971C48F" w14:textId="5B14972E" w:rsidR="00E155E9" w:rsidRDefault="00BD2DD2" w:rsidP="00F67F1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20F">
        <w:rPr>
          <w:rFonts w:ascii="Times New Roman" w:hAnsi="Times New Roman" w:cs="Times New Roman"/>
          <w:sz w:val="24"/>
          <w:szCs w:val="24"/>
        </w:rPr>
        <w:t>között (</w:t>
      </w:r>
      <w:r w:rsidR="004652CE" w:rsidRPr="004652CE">
        <w:rPr>
          <w:rFonts w:ascii="Times New Roman" w:hAnsi="Times New Roman" w:cs="Times New Roman"/>
          <w:sz w:val="24"/>
          <w:szCs w:val="24"/>
        </w:rPr>
        <w:t>Megrendelő és Vállalkozó együttes említésük esetén: „</w:t>
      </w:r>
      <w:r w:rsidR="004652CE" w:rsidRPr="004652CE">
        <w:rPr>
          <w:rFonts w:ascii="Times New Roman" w:hAnsi="Times New Roman" w:cs="Times New Roman"/>
          <w:b/>
          <w:bCs/>
          <w:sz w:val="24"/>
          <w:szCs w:val="24"/>
        </w:rPr>
        <w:t>Szerződő Felek</w:t>
      </w:r>
      <w:r w:rsidR="004652CE" w:rsidRPr="004652CE">
        <w:rPr>
          <w:rFonts w:ascii="Times New Roman" w:hAnsi="Times New Roman" w:cs="Times New Roman"/>
          <w:sz w:val="24"/>
          <w:szCs w:val="24"/>
        </w:rPr>
        <w:t>” vagy „</w:t>
      </w:r>
      <w:r w:rsidR="004652CE" w:rsidRPr="004652C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="004652CE" w:rsidRPr="004652CE">
        <w:rPr>
          <w:rFonts w:ascii="Times New Roman" w:hAnsi="Times New Roman" w:cs="Times New Roman"/>
          <w:sz w:val="24"/>
          <w:szCs w:val="24"/>
        </w:rPr>
        <w:t>”</w:t>
      </w:r>
      <w:r w:rsidRPr="009D520F">
        <w:rPr>
          <w:rFonts w:ascii="Times New Roman" w:hAnsi="Times New Roman" w:cs="Times New Roman"/>
          <w:sz w:val="24"/>
          <w:szCs w:val="24"/>
        </w:rPr>
        <w:t>), az alulírott helyen és napon az alábbi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20F">
        <w:rPr>
          <w:rFonts w:ascii="Times New Roman" w:hAnsi="Times New Roman" w:cs="Times New Roman"/>
          <w:sz w:val="24"/>
          <w:szCs w:val="24"/>
        </w:rPr>
        <w:t>feltételekkel</w:t>
      </w:r>
      <w:r w:rsidR="00F01EFF">
        <w:rPr>
          <w:rFonts w:ascii="Times New Roman" w:hAnsi="Times New Roman" w:cs="Times New Roman"/>
          <w:sz w:val="24"/>
          <w:szCs w:val="24"/>
        </w:rPr>
        <w:t>.</w:t>
      </w:r>
    </w:p>
    <w:p w14:paraId="4D26210F" w14:textId="019E1840" w:rsidR="00BD2DD2" w:rsidRPr="00DA0E9B" w:rsidRDefault="00BD2DD2" w:rsidP="00AD3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05CC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505CC">
        <w:rPr>
          <w:rFonts w:ascii="Times New Roman" w:hAnsi="Times New Roman" w:cs="Times New Roman"/>
          <w:b/>
          <w:sz w:val="24"/>
          <w:szCs w:val="24"/>
          <w:u w:val="single"/>
        </w:rPr>
        <w:t>Előzmények</w:t>
      </w:r>
    </w:p>
    <w:p w14:paraId="4ACF0DF9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7D4EA" w14:textId="4B782665" w:rsidR="00BD2DD2" w:rsidRPr="00C653A4" w:rsidRDefault="00BD2DD2" w:rsidP="006B4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3A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0A">
        <w:rPr>
          <w:rFonts w:ascii="Times New Roman" w:hAnsi="Times New Roman" w:cs="Times New Roman"/>
          <w:bCs/>
          <w:sz w:val="24"/>
          <w:szCs w:val="24"/>
        </w:rPr>
        <w:t>Megrendelő</w:t>
      </w:r>
      <w:r w:rsidRPr="00C65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3A4">
        <w:rPr>
          <w:rFonts w:ascii="Times New Roman" w:hAnsi="Times New Roman" w:cs="Times New Roman"/>
          <w:bCs/>
          <w:sz w:val="24"/>
          <w:szCs w:val="24"/>
        </w:rPr>
        <w:t xml:space="preserve">a közbeszerzésekről szóló 2015. évi CXLIII. törvény (a továbbiakban Kbt.) </w:t>
      </w:r>
      <w:r w:rsidR="00F01EFF">
        <w:rPr>
          <w:rFonts w:ascii="Times New Roman" w:hAnsi="Times New Roman" w:cs="Times New Roman"/>
          <w:bCs/>
          <w:sz w:val="24"/>
          <w:szCs w:val="24"/>
        </w:rPr>
        <w:t>Harmadik</w:t>
      </w:r>
      <w:r w:rsidRPr="00C653A4">
        <w:rPr>
          <w:rFonts w:ascii="Times New Roman" w:hAnsi="Times New Roman" w:cs="Times New Roman"/>
          <w:bCs/>
          <w:sz w:val="24"/>
          <w:szCs w:val="24"/>
        </w:rPr>
        <w:t xml:space="preserve"> Rész</w:t>
      </w:r>
      <w:r w:rsidR="00E155E9">
        <w:rPr>
          <w:rFonts w:ascii="Times New Roman" w:hAnsi="Times New Roman" w:cs="Times New Roman"/>
          <w:bCs/>
          <w:sz w:val="24"/>
          <w:szCs w:val="24"/>
        </w:rPr>
        <w:t xml:space="preserve"> XVII. fejezet</w:t>
      </w:r>
      <w:r w:rsidR="002866C1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C91D37">
        <w:rPr>
          <w:rFonts w:ascii="Times New Roman" w:hAnsi="Times New Roman" w:cs="Times New Roman"/>
          <w:bCs/>
          <w:sz w:val="24"/>
          <w:szCs w:val="24"/>
        </w:rPr>
        <w:t>2</w:t>
      </w:r>
      <w:r w:rsidR="002866C1">
        <w:rPr>
          <w:rFonts w:ascii="Times New Roman" w:hAnsi="Times New Roman" w:cs="Times New Roman"/>
          <w:bCs/>
          <w:sz w:val="24"/>
          <w:szCs w:val="24"/>
        </w:rPr>
        <w:t>. §</w:t>
      </w:r>
      <w:r w:rsidR="00C91D37">
        <w:rPr>
          <w:rFonts w:ascii="Times New Roman" w:hAnsi="Times New Roman" w:cs="Times New Roman"/>
          <w:bCs/>
          <w:sz w:val="24"/>
          <w:szCs w:val="24"/>
        </w:rPr>
        <w:t xml:space="preserve"> (1) bekezdés b) pontja</w:t>
      </w:r>
      <w:r w:rsidRPr="00C653A4">
        <w:rPr>
          <w:rFonts w:ascii="Times New Roman" w:hAnsi="Times New Roman" w:cs="Times New Roman"/>
          <w:bCs/>
          <w:sz w:val="24"/>
          <w:szCs w:val="24"/>
        </w:rPr>
        <w:t xml:space="preserve"> alapján </w:t>
      </w:r>
      <w:r w:rsidR="00CB1AD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653A4">
        <w:rPr>
          <w:rFonts w:ascii="Times New Roman" w:hAnsi="Times New Roman" w:cs="Times New Roman"/>
          <w:bCs/>
          <w:sz w:val="24"/>
          <w:szCs w:val="24"/>
        </w:rPr>
        <w:t>„</w:t>
      </w:r>
      <w:r w:rsidR="00DE7D7D" w:rsidRPr="00DE7D7D">
        <w:rPr>
          <w:rFonts w:ascii="Times New Roman" w:hAnsi="Times New Roman" w:cs="Times New Roman"/>
          <w:i/>
          <w:sz w:val="24"/>
          <w:szCs w:val="24"/>
        </w:rPr>
        <w:t>Budapest XIV. ker. E-Co-housing épület kivitelezés</w:t>
      </w:r>
      <w:r w:rsidRPr="00C653A4">
        <w:rPr>
          <w:rFonts w:ascii="Times New Roman" w:hAnsi="Times New Roman" w:cs="Times New Roman"/>
          <w:bCs/>
          <w:sz w:val="24"/>
          <w:szCs w:val="24"/>
        </w:rPr>
        <w:t>” tárgyban</w:t>
      </w:r>
      <w:r w:rsidR="00503A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AD1">
        <w:rPr>
          <w:rFonts w:ascii="Times New Roman" w:hAnsi="Times New Roman" w:cs="Times New Roman"/>
          <w:bCs/>
          <w:sz w:val="24"/>
          <w:szCs w:val="24"/>
        </w:rPr>
        <w:t>K</w:t>
      </w:r>
      <w:r w:rsidRPr="00C653A4">
        <w:rPr>
          <w:rFonts w:ascii="Times New Roman" w:hAnsi="Times New Roman" w:cs="Times New Roman"/>
          <w:bCs/>
          <w:sz w:val="24"/>
          <w:szCs w:val="24"/>
        </w:rPr>
        <w:t xml:space="preserve">özbeszerzési </w:t>
      </w:r>
      <w:r w:rsidR="00CB1AD1">
        <w:rPr>
          <w:rFonts w:ascii="Times New Roman" w:hAnsi="Times New Roman" w:cs="Times New Roman"/>
          <w:bCs/>
          <w:sz w:val="24"/>
          <w:szCs w:val="24"/>
        </w:rPr>
        <w:t>E</w:t>
      </w:r>
      <w:r w:rsidRPr="00C653A4">
        <w:rPr>
          <w:rFonts w:ascii="Times New Roman" w:hAnsi="Times New Roman" w:cs="Times New Roman"/>
          <w:bCs/>
          <w:sz w:val="24"/>
          <w:szCs w:val="24"/>
        </w:rPr>
        <w:t>ljárást (a továbbiakban</w:t>
      </w:r>
      <w:r w:rsidR="009F3249">
        <w:rPr>
          <w:rFonts w:ascii="Times New Roman" w:hAnsi="Times New Roman" w:cs="Times New Roman"/>
          <w:bCs/>
          <w:sz w:val="24"/>
          <w:szCs w:val="24"/>
        </w:rPr>
        <w:t>:</w:t>
      </w:r>
      <w:r w:rsidRPr="00C653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6958">
        <w:rPr>
          <w:rFonts w:ascii="Times New Roman" w:hAnsi="Times New Roman" w:cs="Times New Roman"/>
          <w:bCs/>
          <w:sz w:val="24"/>
          <w:szCs w:val="24"/>
        </w:rPr>
        <w:t xml:space="preserve">Közbeszerzési </w:t>
      </w:r>
      <w:r w:rsidRPr="00C653A4">
        <w:rPr>
          <w:rFonts w:ascii="Times New Roman" w:hAnsi="Times New Roman" w:cs="Times New Roman"/>
          <w:bCs/>
          <w:sz w:val="24"/>
          <w:szCs w:val="24"/>
        </w:rPr>
        <w:t>Eljárás)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3A4">
        <w:rPr>
          <w:rFonts w:ascii="Times New Roman" w:hAnsi="Times New Roman" w:cs="Times New Roman"/>
          <w:bCs/>
          <w:sz w:val="24"/>
          <w:szCs w:val="24"/>
        </w:rPr>
        <w:t>folytatott le.</w:t>
      </w:r>
    </w:p>
    <w:p w14:paraId="388FC51D" w14:textId="77777777" w:rsidR="00BD2DD2" w:rsidRDefault="00BD2DD2" w:rsidP="006B43A4">
      <w:pPr>
        <w:spacing w:after="0" w:line="240" w:lineRule="auto"/>
      </w:pPr>
    </w:p>
    <w:p w14:paraId="35F27D41" w14:textId="15083A09" w:rsidR="00CB1AD1" w:rsidRDefault="00BD2DD2" w:rsidP="00F250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D18">
        <w:rPr>
          <w:rFonts w:ascii="Times New Roman" w:hAnsi="Times New Roman" w:cs="Times New Roman"/>
          <w:b/>
          <w:sz w:val="24"/>
          <w:szCs w:val="24"/>
        </w:rPr>
        <w:t>2.</w:t>
      </w:r>
      <w:r w:rsidRPr="00522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48E" w:rsidRPr="00CE148E">
        <w:rPr>
          <w:rFonts w:ascii="Times New Roman" w:hAnsi="Times New Roman" w:cs="Times New Roman"/>
          <w:bCs/>
          <w:sz w:val="24"/>
          <w:szCs w:val="24"/>
        </w:rPr>
        <w:t>Vállalkozó, mint ajánlattevő a Közbeszerzési Eljáráson részt vett, és figyelemmel arra, hogy Megrendelő Vállalkozó ajánlatát fogadta el nyertes ajánlatként</w:t>
      </w:r>
      <w:r w:rsidR="00CB1AD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148E" w:rsidRPr="00CE148E">
        <w:rPr>
          <w:rFonts w:ascii="Times New Roman" w:hAnsi="Times New Roman" w:cs="Times New Roman"/>
          <w:bCs/>
          <w:sz w:val="24"/>
          <w:szCs w:val="24"/>
        </w:rPr>
        <w:t>a Felek</w:t>
      </w:r>
      <w:r w:rsidR="00CE148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46BBA">
        <w:rPr>
          <w:rFonts w:ascii="Times New Roman" w:hAnsi="Times New Roman" w:cs="Times New Roman"/>
          <w:bCs/>
          <w:sz w:val="24"/>
          <w:szCs w:val="24"/>
        </w:rPr>
        <w:t>2</w:t>
      </w:r>
      <w:r w:rsidR="00CE148E">
        <w:rPr>
          <w:rFonts w:ascii="Times New Roman" w:hAnsi="Times New Roman" w:cs="Times New Roman"/>
          <w:bCs/>
          <w:sz w:val="24"/>
          <w:szCs w:val="24"/>
        </w:rPr>
        <w:t>.</w:t>
      </w:r>
      <w:r w:rsidR="0024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D7D">
        <w:rPr>
          <w:rFonts w:ascii="Times New Roman" w:hAnsi="Times New Roman" w:cs="Times New Roman"/>
          <w:bCs/>
          <w:sz w:val="24"/>
          <w:szCs w:val="24"/>
        </w:rPr>
        <w:t>június 22</w:t>
      </w:r>
      <w:r w:rsidR="00CE148E" w:rsidRPr="00C2682E">
        <w:rPr>
          <w:rFonts w:ascii="Times New Roman" w:hAnsi="Times New Roman" w:cs="Times New Roman"/>
          <w:bCs/>
          <w:sz w:val="24"/>
          <w:szCs w:val="24"/>
        </w:rPr>
        <w:t>.</w:t>
      </w:r>
      <w:r w:rsidR="00CE148E">
        <w:rPr>
          <w:rFonts w:ascii="Times New Roman" w:hAnsi="Times New Roman" w:cs="Times New Roman"/>
          <w:bCs/>
          <w:sz w:val="24"/>
          <w:szCs w:val="24"/>
        </w:rPr>
        <w:t xml:space="preserve"> napján szerződést kötöttek.</w:t>
      </w:r>
    </w:p>
    <w:p w14:paraId="5801DD03" w14:textId="3FF89C3F" w:rsidR="00BD2DD2" w:rsidRPr="00F67F13" w:rsidRDefault="00BD2DD2" w:rsidP="00F67F13">
      <w:pPr>
        <w:spacing w:after="160" w:line="259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78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II. A szerződés módosítása</w:t>
      </w:r>
    </w:p>
    <w:p w14:paraId="5A889567" w14:textId="44E39321" w:rsidR="00BD2DD2" w:rsidRDefault="00BD2DD2" w:rsidP="006B4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875">
        <w:rPr>
          <w:rFonts w:ascii="Times New Roman" w:hAnsi="Times New Roman" w:cs="Times New Roman"/>
          <w:b/>
          <w:sz w:val="24"/>
          <w:szCs w:val="24"/>
        </w:rPr>
        <w:t>1.</w:t>
      </w:r>
      <w:r w:rsidRPr="00E77875">
        <w:rPr>
          <w:rFonts w:ascii="Times New Roman" w:hAnsi="Times New Roman" w:cs="Times New Roman"/>
          <w:sz w:val="24"/>
          <w:szCs w:val="24"/>
        </w:rPr>
        <w:t xml:space="preserve"> Felek az </w:t>
      </w:r>
      <w:r w:rsidRPr="004C532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77875">
        <w:rPr>
          <w:rFonts w:ascii="Times New Roman" w:hAnsi="Times New Roman" w:cs="Times New Roman"/>
          <w:sz w:val="24"/>
          <w:szCs w:val="24"/>
        </w:rPr>
        <w:t xml:space="preserve"> pontban meghatározott </w:t>
      </w:r>
      <w:r>
        <w:rPr>
          <w:rFonts w:ascii="Times New Roman" w:hAnsi="Times New Roman" w:cs="Times New Roman"/>
          <w:sz w:val="24"/>
          <w:szCs w:val="24"/>
        </w:rPr>
        <w:t xml:space="preserve">szerződést </w:t>
      </w:r>
      <w:r w:rsidRPr="00E77875">
        <w:rPr>
          <w:rFonts w:ascii="Times New Roman" w:hAnsi="Times New Roman" w:cs="Times New Roman"/>
          <w:sz w:val="24"/>
          <w:szCs w:val="24"/>
        </w:rPr>
        <w:t>közös megegyezéssel az alábbiak szerint módosítják.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A20C5" w14:textId="77777777" w:rsidR="006B43A4" w:rsidRDefault="006B43A4" w:rsidP="006B4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583B3" w14:textId="07F64FEA" w:rsidR="00EC695D" w:rsidRDefault="00BD2DD2" w:rsidP="006B4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875">
        <w:rPr>
          <w:rFonts w:ascii="Times New Roman" w:hAnsi="Times New Roman" w:cs="Times New Roman"/>
          <w:sz w:val="24"/>
          <w:szCs w:val="24"/>
        </w:rPr>
        <w:t>A Kbt. 141. §</w:t>
      </w:r>
      <w:r w:rsidR="00801713">
        <w:rPr>
          <w:rFonts w:ascii="Times New Roman" w:hAnsi="Times New Roman" w:cs="Times New Roman"/>
          <w:sz w:val="24"/>
          <w:szCs w:val="24"/>
        </w:rPr>
        <w:t xml:space="preserve"> </w:t>
      </w:r>
      <w:r w:rsidR="002813B2">
        <w:rPr>
          <w:rFonts w:ascii="Times New Roman" w:hAnsi="Times New Roman" w:cs="Times New Roman"/>
          <w:sz w:val="24"/>
          <w:szCs w:val="24"/>
        </w:rPr>
        <w:t>(</w:t>
      </w:r>
      <w:r w:rsidR="00EC695D">
        <w:rPr>
          <w:rFonts w:ascii="Times New Roman" w:hAnsi="Times New Roman" w:cs="Times New Roman"/>
          <w:sz w:val="24"/>
          <w:szCs w:val="24"/>
        </w:rPr>
        <w:t>4</w:t>
      </w:r>
      <w:r w:rsidR="002813B2">
        <w:rPr>
          <w:rFonts w:ascii="Times New Roman" w:hAnsi="Times New Roman" w:cs="Times New Roman"/>
          <w:sz w:val="24"/>
          <w:szCs w:val="24"/>
        </w:rPr>
        <w:t>)</w:t>
      </w:r>
      <w:r w:rsidR="009F3249">
        <w:rPr>
          <w:rFonts w:ascii="Times New Roman" w:hAnsi="Times New Roman" w:cs="Times New Roman"/>
          <w:sz w:val="24"/>
          <w:szCs w:val="24"/>
        </w:rPr>
        <w:t xml:space="preserve"> </w:t>
      </w:r>
      <w:r w:rsidR="00801713">
        <w:rPr>
          <w:rFonts w:ascii="Times New Roman" w:hAnsi="Times New Roman" w:cs="Times New Roman"/>
          <w:sz w:val="24"/>
          <w:szCs w:val="24"/>
        </w:rPr>
        <w:t>bekezdése szerint a</w:t>
      </w:r>
      <w:r w:rsidR="00801713" w:rsidRPr="00801713">
        <w:rPr>
          <w:rFonts w:ascii="Times New Roman" w:hAnsi="Times New Roman" w:cs="Times New Roman"/>
          <w:sz w:val="24"/>
          <w:szCs w:val="24"/>
        </w:rPr>
        <w:t xml:space="preserve"> szerződés </w:t>
      </w:r>
      <w:r w:rsidR="00EC695D">
        <w:rPr>
          <w:rFonts w:ascii="Times New Roman" w:hAnsi="Times New Roman" w:cs="Times New Roman"/>
          <w:sz w:val="24"/>
          <w:szCs w:val="24"/>
        </w:rPr>
        <w:t>a</w:t>
      </w:r>
      <w:r w:rsidR="00EC695D" w:rsidRPr="00EC695D">
        <w:rPr>
          <w:rFonts w:ascii="Times New Roman" w:hAnsi="Times New Roman" w:cs="Times New Roman"/>
          <w:sz w:val="24"/>
          <w:szCs w:val="24"/>
        </w:rPr>
        <w:t xml:space="preserve"> (2) bekezdésben szabályozott esetek mellett - a (6) bekezdésben foglalt feltételek vizsgálata nélkül - új közbeszerzési eljárás lefolytatása nélkül módosítható, illetve módosulhat:</w:t>
      </w:r>
    </w:p>
    <w:p w14:paraId="401D232E" w14:textId="1BC7478A" w:rsidR="00EC695D" w:rsidRPr="00EC695D" w:rsidRDefault="00EC695D" w:rsidP="00EC695D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95D">
        <w:rPr>
          <w:rFonts w:ascii="Times New Roman" w:hAnsi="Times New Roman" w:cs="Times New Roman"/>
          <w:i/>
          <w:iCs/>
          <w:sz w:val="24"/>
          <w:szCs w:val="24"/>
        </w:rPr>
        <w:t xml:space="preserve">c) a következő feltételek együttes teljesülése esetén: </w:t>
      </w:r>
    </w:p>
    <w:p w14:paraId="38DB8523" w14:textId="77777777" w:rsidR="00EC695D" w:rsidRPr="00EC695D" w:rsidRDefault="00EC695D" w:rsidP="00EC695D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95D">
        <w:rPr>
          <w:rFonts w:ascii="Times New Roman" w:hAnsi="Times New Roman" w:cs="Times New Roman"/>
          <w:i/>
          <w:iCs/>
          <w:sz w:val="24"/>
          <w:szCs w:val="24"/>
        </w:rPr>
        <w:t>ca) a módosítást olyan körülmények tették szükségessé, amelyeket az ajánlatkérő kellő gondossággal eljárva nem láthatott előre;</w:t>
      </w:r>
    </w:p>
    <w:p w14:paraId="588F58FE" w14:textId="77777777" w:rsidR="00EC695D" w:rsidRPr="00EC695D" w:rsidRDefault="00EC695D" w:rsidP="00EC695D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95D">
        <w:rPr>
          <w:rFonts w:ascii="Times New Roman" w:hAnsi="Times New Roman" w:cs="Times New Roman"/>
          <w:i/>
          <w:iCs/>
          <w:sz w:val="24"/>
          <w:szCs w:val="24"/>
        </w:rPr>
        <w:t>cb) a módosítás nem változtatja meg a szerződés általános jellegét;</w:t>
      </w:r>
    </w:p>
    <w:p w14:paraId="0E55FAD8" w14:textId="77777777" w:rsidR="00EC695D" w:rsidRPr="00EC695D" w:rsidRDefault="00EC695D" w:rsidP="00EC695D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95D">
        <w:rPr>
          <w:rFonts w:ascii="Times New Roman" w:hAnsi="Times New Roman" w:cs="Times New Roman"/>
          <w:i/>
          <w:iCs/>
          <w:sz w:val="24"/>
          <w:szCs w:val="24"/>
        </w:rPr>
        <w:t>cc) az ellenérték növekedése nem haladja meg az eredeti szerződés értékének 50%-át. Ha egymást követően több olyan módosításra kerül sor, amelyek a ca) alpont szerinti több, egymással nem összefüggő körülmény miatt merültek fel, ez a korlátozás az egyes módosítások nettó értékére alkalmazandó. Az egymást követő módosítások nem célozhatják e rendelkezés megkerülését.</w:t>
      </w:r>
    </w:p>
    <w:p w14:paraId="638EE136" w14:textId="77777777" w:rsidR="006B43A4" w:rsidRPr="002813B2" w:rsidRDefault="006B43A4" w:rsidP="006B43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9F6BCC" w14:textId="6F7F0B29" w:rsidR="001B627A" w:rsidRDefault="00BD2DD2" w:rsidP="00AD321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87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77875">
        <w:rPr>
          <w:rFonts w:ascii="Times New Roman" w:hAnsi="Times New Roman" w:cs="Times New Roman"/>
          <w:sz w:val="24"/>
          <w:szCs w:val="24"/>
        </w:rPr>
        <w:t xml:space="preserve"> </w:t>
      </w:r>
      <w:r w:rsidRPr="003914A3">
        <w:rPr>
          <w:rFonts w:ascii="Times New Roman" w:hAnsi="Times New Roman" w:cs="Times New Roman"/>
          <w:b/>
          <w:bCs/>
          <w:sz w:val="24"/>
          <w:szCs w:val="24"/>
        </w:rPr>
        <w:t>Az előírt feltételek vizsgálata és a szerződésmódosítás jogszerűségének indoka:</w:t>
      </w:r>
    </w:p>
    <w:p w14:paraId="73396478" w14:textId="4FDDC244" w:rsidR="001B627A" w:rsidRDefault="001B627A" w:rsidP="0045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82E">
        <w:rPr>
          <w:rFonts w:ascii="Times New Roman" w:hAnsi="Times New Roman" w:cs="Times New Roman"/>
          <w:sz w:val="24"/>
          <w:szCs w:val="24"/>
          <w:u w:val="single"/>
        </w:rPr>
        <w:t>2.1.</w:t>
      </w:r>
      <w:r w:rsidR="00190BC4" w:rsidRPr="00C2682E">
        <w:rPr>
          <w:u w:val="single"/>
        </w:rPr>
        <w:t xml:space="preserve"> </w:t>
      </w:r>
      <w:r w:rsidR="00190BC4" w:rsidRPr="00C2682E">
        <w:rPr>
          <w:rFonts w:ascii="Times New Roman" w:hAnsi="Times New Roman" w:cs="Times New Roman"/>
          <w:sz w:val="24"/>
          <w:szCs w:val="24"/>
          <w:u w:val="single"/>
        </w:rPr>
        <w:t>A módosítást olyan körülmények tették szükségessé, amelyeket az ajánlatkérő kellő gondossággal eljárva nem láthatott előre:</w:t>
      </w:r>
    </w:p>
    <w:p w14:paraId="79882949" w14:textId="120EE7B6" w:rsidR="00C07094" w:rsidRPr="00F760CC" w:rsidRDefault="00E26CF8" w:rsidP="00AD32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1. </w:t>
      </w:r>
      <w:r w:rsidR="001A6383" w:rsidRPr="00F760CC">
        <w:rPr>
          <w:rFonts w:ascii="Times New Roman" w:hAnsi="Times New Roman" w:cs="Times New Roman"/>
          <w:sz w:val="24"/>
          <w:szCs w:val="24"/>
        </w:rPr>
        <w:t>Az ukrajnai háború az építőanyag beszállítói lánc több szereplőjére is rendkívül negatív hatást gyakorolt</w:t>
      </w:r>
      <w:r w:rsidR="0024324E" w:rsidRPr="00F760CC">
        <w:rPr>
          <w:rFonts w:ascii="Times New Roman" w:hAnsi="Times New Roman" w:cs="Times New Roman"/>
          <w:sz w:val="24"/>
          <w:szCs w:val="24"/>
        </w:rPr>
        <w:t xml:space="preserve">, </w:t>
      </w:r>
      <w:r w:rsidR="00C07094" w:rsidRPr="00F760CC">
        <w:rPr>
          <w:rFonts w:ascii="Times New Roman" w:hAnsi="Times New Roman" w:cs="Times New Roman"/>
          <w:sz w:val="24"/>
          <w:szCs w:val="24"/>
        </w:rPr>
        <w:t xml:space="preserve">a </w:t>
      </w:r>
      <w:r w:rsidR="0024324E" w:rsidRPr="00F760CC">
        <w:rPr>
          <w:rFonts w:ascii="Times New Roman" w:hAnsi="Times New Roman" w:cs="Times New Roman"/>
          <w:sz w:val="24"/>
          <w:szCs w:val="24"/>
        </w:rPr>
        <w:t>korábbi évtizedek alatt kialakult ellátási lánc-hálózatok bomlottak fel</w:t>
      </w:r>
      <w:r w:rsidR="00C07094" w:rsidRPr="00F760CC">
        <w:rPr>
          <w:rFonts w:ascii="Times New Roman" w:hAnsi="Times New Roman" w:cs="Times New Roman"/>
          <w:sz w:val="24"/>
          <w:szCs w:val="24"/>
        </w:rPr>
        <w:t>,</w:t>
      </w:r>
      <w:r w:rsidR="00D058AE"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="00CA5FFA" w:rsidRPr="00F760CC">
        <w:rPr>
          <w:rFonts w:ascii="Times New Roman" w:hAnsi="Times New Roman" w:cs="Times New Roman"/>
          <w:sz w:val="24"/>
          <w:szCs w:val="24"/>
        </w:rPr>
        <w:t xml:space="preserve">nemzetközi szintű </w:t>
      </w:r>
      <w:r w:rsidR="00D058AE" w:rsidRPr="00F760CC">
        <w:rPr>
          <w:rFonts w:ascii="Times New Roman" w:hAnsi="Times New Roman" w:cs="Times New Roman"/>
          <w:sz w:val="24"/>
          <w:szCs w:val="24"/>
        </w:rPr>
        <w:t>alapanyagbeszerzési nehézségeket okozva</w:t>
      </w:r>
      <w:r w:rsidR="00C07094" w:rsidRPr="00F760CC">
        <w:rPr>
          <w:rFonts w:ascii="Times New Roman" w:hAnsi="Times New Roman" w:cs="Times New Roman"/>
          <w:sz w:val="24"/>
          <w:szCs w:val="24"/>
        </w:rPr>
        <w:t xml:space="preserve"> ezáltal</w:t>
      </w:r>
      <w:r w:rsidR="000F352B" w:rsidRPr="00F760CC">
        <w:rPr>
          <w:rFonts w:ascii="Times New Roman" w:hAnsi="Times New Roman" w:cs="Times New Roman"/>
          <w:sz w:val="24"/>
          <w:szCs w:val="24"/>
        </w:rPr>
        <w:t>.</w:t>
      </w:r>
    </w:p>
    <w:p w14:paraId="42F121E1" w14:textId="04BE61B4" w:rsidR="000F352B" w:rsidRPr="00F760CC" w:rsidRDefault="00A303B1" w:rsidP="00AD32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Figyelemmel arra, hogy a beépítésre kerülő anyagok jelentős része külföldi beszállítóktól érkezik </w:t>
      </w:r>
      <w:r w:rsidR="00C07094" w:rsidRPr="00F760CC">
        <w:rPr>
          <w:rFonts w:ascii="Times New Roman" w:hAnsi="Times New Roman" w:cs="Times New Roman"/>
          <w:sz w:val="24"/>
          <w:szCs w:val="24"/>
        </w:rPr>
        <w:t>(</w:t>
      </w:r>
      <w:r w:rsidR="00CA5FFA" w:rsidRPr="00F760CC">
        <w:rPr>
          <w:rFonts w:ascii="Times New Roman" w:hAnsi="Times New Roman" w:cs="Times New Roman"/>
          <w:sz w:val="24"/>
          <w:szCs w:val="24"/>
        </w:rPr>
        <w:t>valamint hogy az</w:t>
      </w:r>
      <w:r w:rsidR="00C07094" w:rsidRPr="00F760CC">
        <w:rPr>
          <w:rFonts w:ascii="Times New Roman" w:hAnsi="Times New Roman" w:cs="Times New Roman"/>
          <w:sz w:val="24"/>
          <w:szCs w:val="24"/>
        </w:rPr>
        <w:t xml:space="preserve"> orosz, illetve ukrán építőanyag- és alapanyag gyárak nem szállítanak az Európai Unióba)</w:t>
      </w:r>
      <w:r w:rsidR="00CA5FFA" w:rsidRPr="00F760CC">
        <w:rPr>
          <w:rFonts w:ascii="Times New Roman" w:hAnsi="Times New Roman" w:cs="Times New Roman"/>
          <w:sz w:val="24"/>
          <w:szCs w:val="24"/>
        </w:rPr>
        <w:t>,</w:t>
      </w:r>
      <w:r w:rsidR="00C07094"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="00FF49FE" w:rsidRPr="00F760CC">
        <w:rPr>
          <w:rFonts w:ascii="Times New Roman" w:hAnsi="Times New Roman" w:cs="Times New Roman"/>
          <w:sz w:val="24"/>
          <w:szCs w:val="24"/>
        </w:rPr>
        <w:t xml:space="preserve">a nemzetközi beszállítói láncok fennakadásai a hazai kivitelezési idők </w:t>
      </w:r>
      <w:r w:rsidR="00CA5FFA" w:rsidRPr="00F760CC">
        <w:rPr>
          <w:rFonts w:ascii="Times New Roman" w:hAnsi="Times New Roman" w:cs="Times New Roman"/>
          <w:sz w:val="24"/>
          <w:szCs w:val="24"/>
        </w:rPr>
        <w:t>meg</w:t>
      </w:r>
      <w:r w:rsidR="00FF49FE" w:rsidRPr="00F760CC">
        <w:rPr>
          <w:rFonts w:ascii="Times New Roman" w:hAnsi="Times New Roman" w:cs="Times New Roman"/>
          <w:sz w:val="24"/>
          <w:szCs w:val="24"/>
        </w:rPr>
        <w:t>hosszabbodását, illetőleg a</w:t>
      </w:r>
      <w:r w:rsidR="00CA5FFA" w:rsidRPr="00F760CC">
        <w:rPr>
          <w:rFonts w:ascii="Times New Roman" w:hAnsi="Times New Roman" w:cs="Times New Roman"/>
          <w:sz w:val="24"/>
          <w:szCs w:val="24"/>
        </w:rPr>
        <w:t>z anyag- és</w:t>
      </w:r>
      <w:r w:rsidR="00FF49FE" w:rsidRPr="00F760CC">
        <w:rPr>
          <w:rFonts w:ascii="Times New Roman" w:hAnsi="Times New Roman" w:cs="Times New Roman"/>
          <w:sz w:val="24"/>
          <w:szCs w:val="24"/>
        </w:rPr>
        <w:t xml:space="preserve"> szállítási költségek növekedését eredményezik.</w:t>
      </w:r>
    </w:p>
    <w:p w14:paraId="7327F95F" w14:textId="5EBD4D2B" w:rsidR="00FC3118" w:rsidRPr="00F760CC" w:rsidRDefault="00CA5FFA" w:rsidP="00AD32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>A</w:t>
      </w:r>
      <w:r w:rsidR="000F352B" w:rsidRPr="00F760CC">
        <w:rPr>
          <w:rFonts w:ascii="Times New Roman" w:hAnsi="Times New Roman" w:cs="Times New Roman"/>
          <w:sz w:val="24"/>
          <w:szCs w:val="24"/>
        </w:rPr>
        <w:t xml:space="preserve"> fosszilis energiahordozók</w:t>
      </w:r>
      <w:r w:rsidR="00996B63"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="000F352B" w:rsidRPr="00F760CC">
        <w:rPr>
          <w:rFonts w:ascii="Times New Roman" w:hAnsi="Times New Roman" w:cs="Times New Roman"/>
          <w:sz w:val="24"/>
          <w:szCs w:val="24"/>
        </w:rPr>
        <w:t>árának jelentős mértékű emelkedése valamennyi gazdasági ágazatban, így az építőanyagok piacán is érezteti kedvezőtlen hatásait a szállítási díjak, költségek</w:t>
      </w:r>
      <w:r w:rsidR="00996B63" w:rsidRPr="00F760CC">
        <w:rPr>
          <w:rFonts w:ascii="Times New Roman" w:hAnsi="Times New Roman" w:cs="Times New Roman"/>
          <w:sz w:val="24"/>
          <w:szCs w:val="24"/>
        </w:rPr>
        <w:t xml:space="preserve"> vonatkozásában</w:t>
      </w:r>
      <w:r w:rsidR="0034081F" w:rsidRPr="00F760CC">
        <w:rPr>
          <w:rFonts w:ascii="Times New Roman" w:hAnsi="Times New Roman" w:cs="Times New Roman"/>
          <w:sz w:val="24"/>
          <w:szCs w:val="24"/>
        </w:rPr>
        <w:t xml:space="preserve">. </w:t>
      </w:r>
      <w:r w:rsidR="00FC3118" w:rsidRPr="00F760CC">
        <w:rPr>
          <w:rFonts w:ascii="Times New Roman" w:hAnsi="Times New Roman" w:cs="Times New Roman"/>
          <w:sz w:val="24"/>
          <w:szCs w:val="24"/>
        </w:rPr>
        <w:t xml:space="preserve">A Kormány által 2021. év novemberében bevezetett üzemanyagokra vonatkozó hatósági ár igénybevétele lehetőségének a 94/2022. (III. 10.) Korm. rendelettel történő 7,5 tonnát meghaladó tömegű terhegépjárműveket érintő megszüntetése a </w:t>
      </w:r>
      <w:r w:rsidR="009F2526" w:rsidRPr="00F760CC">
        <w:rPr>
          <w:rFonts w:ascii="Times New Roman" w:hAnsi="Times New Roman" w:cs="Times New Roman"/>
          <w:sz w:val="24"/>
          <w:szCs w:val="24"/>
        </w:rPr>
        <w:t xml:space="preserve">szállítási díjak, költségek, végső soron a </w:t>
      </w:r>
      <w:r w:rsidR="00FC3118" w:rsidRPr="00F760CC">
        <w:rPr>
          <w:rFonts w:ascii="Times New Roman" w:hAnsi="Times New Roman" w:cs="Times New Roman"/>
          <w:sz w:val="24"/>
          <w:szCs w:val="24"/>
        </w:rPr>
        <w:t>beruházások ellenértékének növekedése</w:t>
      </w:r>
      <w:r w:rsidR="009F2526" w:rsidRPr="00F760CC">
        <w:rPr>
          <w:rFonts w:ascii="Times New Roman" w:hAnsi="Times New Roman" w:cs="Times New Roman"/>
          <w:sz w:val="24"/>
          <w:szCs w:val="24"/>
        </w:rPr>
        <w:t xml:space="preserve"> révén </w:t>
      </w:r>
      <w:r w:rsidR="001169B8" w:rsidRPr="00F760CC">
        <w:rPr>
          <w:rFonts w:ascii="Times New Roman" w:hAnsi="Times New Roman" w:cs="Times New Roman"/>
          <w:sz w:val="24"/>
          <w:szCs w:val="24"/>
        </w:rPr>
        <w:t xml:space="preserve">a </w:t>
      </w:r>
      <w:r w:rsidR="009F2526" w:rsidRPr="00F760CC">
        <w:rPr>
          <w:rFonts w:ascii="Times New Roman" w:hAnsi="Times New Roman" w:cs="Times New Roman"/>
          <w:sz w:val="24"/>
          <w:szCs w:val="24"/>
        </w:rPr>
        <w:t xml:space="preserve">Vállalkozó számára további előre nem látható finanszírozási nehézségeket okoz. </w:t>
      </w:r>
    </w:p>
    <w:p w14:paraId="7AC0DC8A" w14:textId="23F1B5F1" w:rsidR="001A6383" w:rsidRPr="00F760CC" w:rsidRDefault="0034081F" w:rsidP="00AD32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Az üzleti szférában általánosan elfogadott megoldássá vált „napi árak” alkalmazása, melyek mind </w:t>
      </w:r>
      <w:r w:rsidR="001169B8" w:rsidRPr="00F760CC">
        <w:rPr>
          <w:rFonts w:ascii="Times New Roman" w:hAnsi="Times New Roman" w:cs="Times New Roman"/>
          <w:sz w:val="24"/>
          <w:szCs w:val="24"/>
        </w:rPr>
        <w:t>a m</w:t>
      </w:r>
      <w:r w:rsidRPr="00F760CC">
        <w:rPr>
          <w:rFonts w:ascii="Times New Roman" w:hAnsi="Times New Roman" w:cs="Times New Roman"/>
          <w:sz w:val="24"/>
          <w:szCs w:val="24"/>
        </w:rPr>
        <w:t xml:space="preserve">egrendelői, mind </w:t>
      </w:r>
      <w:r w:rsidR="001169B8" w:rsidRPr="00F760CC">
        <w:rPr>
          <w:rFonts w:ascii="Times New Roman" w:hAnsi="Times New Roman" w:cs="Times New Roman"/>
          <w:sz w:val="24"/>
          <w:szCs w:val="24"/>
        </w:rPr>
        <w:t>a v</w:t>
      </w:r>
      <w:r w:rsidRPr="00F760CC">
        <w:rPr>
          <w:rFonts w:ascii="Times New Roman" w:hAnsi="Times New Roman" w:cs="Times New Roman"/>
          <w:sz w:val="24"/>
          <w:szCs w:val="24"/>
        </w:rPr>
        <w:t xml:space="preserve">állalkozói oldalon kizárják a </w:t>
      </w:r>
      <w:r w:rsidR="001169B8" w:rsidRPr="00F760CC">
        <w:rPr>
          <w:rFonts w:ascii="Times New Roman" w:hAnsi="Times New Roman" w:cs="Times New Roman"/>
          <w:sz w:val="24"/>
          <w:szCs w:val="24"/>
        </w:rPr>
        <w:t xml:space="preserve">kivitelezések </w:t>
      </w:r>
      <w:r w:rsidRPr="00F760CC">
        <w:rPr>
          <w:rFonts w:ascii="Times New Roman" w:hAnsi="Times New Roman" w:cs="Times New Roman"/>
          <w:sz w:val="24"/>
          <w:szCs w:val="24"/>
        </w:rPr>
        <w:t>tervezhetőség</w:t>
      </w:r>
      <w:r w:rsidR="001169B8" w:rsidRPr="00F760CC">
        <w:rPr>
          <w:rFonts w:ascii="Times New Roman" w:hAnsi="Times New Roman" w:cs="Times New Roman"/>
          <w:sz w:val="24"/>
          <w:szCs w:val="24"/>
        </w:rPr>
        <w:t>ének</w:t>
      </w:r>
      <w:r w:rsidRPr="00F760CC">
        <w:rPr>
          <w:rFonts w:ascii="Times New Roman" w:hAnsi="Times New Roman" w:cs="Times New Roman"/>
          <w:sz w:val="24"/>
          <w:szCs w:val="24"/>
        </w:rPr>
        <w:t xml:space="preserve"> lehetőségét.</w:t>
      </w:r>
    </w:p>
    <w:p w14:paraId="5D12FEE0" w14:textId="77777777" w:rsidR="00AC4316" w:rsidRPr="00F760CC" w:rsidRDefault="00AC4316" w:rsidP="00AC4316">
      <w:pPr>
        <w:pStyle w:val="Nincstrkz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A háború elhúzódása miatt jelenleg is folyamatosan tartó piaci átrendeződés, valamint a </w:t>
      </w:r>
      <w:r w:rsidRPr="00F760CC">
        <w:rPr>
          <w:rFonts w:ascii="Times New Roman" w:hAnsi="Times New Roman" w:cs="Times New Roman"/>
          <w:color w:val="000000"/>
          <w:sz w:val="24"/>
          <w:szCs w:val="24"/>
        </w:rPr>
        <w:t xml:space="preserve">beszerzési- és árválság miatt azonban a piaci szereplők megkezdték a meglévő készletek tömeges felvásárlását, emiatt a még elérhető készletezett/legyártott árumennyiséget is árfelhajtó hatás és rohamos készletcsökkenés jellemzi, mellyel összefüggésben a beszállítói viszonylatban </w:t>
      </w:r>
      <w:r w:rsidRPr="00F760CC">
        <w:rPr>
          <w:rFonts w:ascii="Times New Roman" w:hAnsi="Times New Roman" w:cs="Times New Roman"/>
          <w:color w:val="000000"/>
          <w:sz w:val="24"/>
          <w:szCs w:val="24"/>
        </w:rPr>
        <w:lastRenderedPageBreak/>
        <w:t>általános tendenciává kezd válni, hogy a korábbiakhoz képest akár 50-100%-kal nagyobb előleget kérnek.</w:t>
      </w:r>
    </w:p>
    <w:p w14:paraId="3CC8BA22" w14:textId="77777777" w:rsidR="00AC4316" w:rsidRPr="00F760CC" w:rsidRDefault="00AC4316" w:rsidP="00AC431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B996D42" w14:textId="77777777" w:rsidR="00AC4316" w:rsidRPr="00F760CC" w:rsidRDefault="00AC4316" w:rsidP="00AC431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Vállalkozó a szerződéskötést követően intézkedett a kivitelezéshez szükséges alapanyagok megrendelése iránt, azonban a gyártók/beszállítók a korábbi tájékoztatásukkal szemben lényegesen hosszabb szállítási határidőről, lényegesen nagyobb mértékű előleg biztosításának szükségességéről, valamint egyes termékek vonatkozásában napi árszabásról tájékoztatták. </w:t>
      </w:r>
    </w:p>
    <w:p w14:paraId="4801850C" w14:textId="77777777" w:rsidR="00AC4316" w:rsidRPr="00F760CC" w:rsidRDefault="00AC4316" w:rsidP="00AC431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B660079" w14:textId="76117F73" w:rsidR="00867A56" w:rsidRPr="00F760CC" w:rsidRDefault="00AC4316" w:rsidP="004031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>Vállalkozó a megnövekedett szállítási határidők, és a napi árszabásból eredő kockázatok – melyek a szerződés határidőben történő, és a szerződéskötést megelőző közbeszerzési eljárás során megajánlott áron történő teljesíthetőségét veszélyeztetik – elkerülése érdekében a teljesítéshez szükséges alapanyagokat kénytelen előre, nem pedig a kivitelezés során folyamatosan megrendelni</w:t>
      </w:r>
      <w:r w:rsidR="0040318D" w:rsidRPr="00F760CC">
        <w:rPr>
          <w:rFonts w:ascii="Times New Roman" w:hAnsi="Times New Roman" w:cs="Times New Roman"/>
          <w:sz w:val="24"/>
          <w:szCs w:val="24"/>
        </w:rPr>
        <w:t xml:space="preserve">, </w:t>
      </w:r>
      <w:r w:rsidR="002B3FB3" w:rsidRPr="00F760CC">
        <w:rPr>
          <w:rFonts w:ascii="Times New Roman" w:hAnsi="Times New Roman" w:cs="Times New Roman"/>
          <w:sz w:val="24"/>
          <w:szCs w:val="24"/>
        </w:rPr>
        <w:t>amely a Vállalkozói oldalon nem várt finanszírozási nehézséget okoz</w:t>
      </w:r>
      <w:r w:rsidR="00795335" w:rsidRPr="00F760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922E6" w14:textId="77777777" w:rsidR="0040318D" w:rsidRPr="00F760CC" w:rsidRDefault="0040318D" w:rsidP="0040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B062F" w14:textId="185356E4" w:rsidR="00772FEA" w:rsidRPr="00F760CC" w:rsidRDefault="00772FEA" w:rsidP="0040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>Figyelemmel arra, hogy építési beruházás esetében a részszámlák a megvalósult részteljesítéshez kötöttek, illetve az építési beruházás teljesítésének előrehaladása nem lineáris</w:t>
      </w:r>
      <w:r w:rsidR="001E1279" w:rsidRPr="00F760CC">
        <w:rPr>
          <w:rFonts w:ascii="Times New Roman" w:hAnsi="Times New Roman" w:cs="Times New Roman"/>
          <w:sz w:val="24"/>
          <w:szCs w:val="24"/>
        </w:rPr>
        <w:t>, Vállakozónak az előzetes anyagrendeléseket saját forrásból kell finanszíroznia, mely az építési beruházásokat általánosan jellemző pénzügyi ütemezésen túlmutatóan további több tízmillió forint megelőleg</w:t>
      </w:r>
      <w:r w:rsidR="008B4969" w:rsidRPr="00F760CC">
        <w:rPr>
          <w:rFonts w:ascii="Times New Roman" w:hAnsi="Times New Roman" w:cs="Times New Roman"/>
          <w:sz w:val="24"/>
          <w:szCs w:val="24"/>
        </w:rPr>
        <w:t>e</w:t>
      </w:r>
      <w:r w:rsidR="001E1279" w:rsidRPr="00F760CC">
        <w:rPr>
          <w:rFonts w:ascii="Times New Roman" w:hAnsi="Times New Roman" w:cs="Times New Roman"/>
          <w:sz w:val="24"/>
          <w:szCs w:val="24"/>
        </w:rPr>
        <w:t>zését jelenti huzamosabb időn keresztül</w:t>
      </w:r>
      <w:r w:rsidR="008B4969" w:rsidRPr="00F760CC">
        <w:rPr>
          <w:rFonts w:ascii="Times New Roman" w:hAnsi="Times New Roman" w:cs="Times New Roman"/>
          <w:sz w:val="24"/>
          <w:szCs w:val="24"/>
        </w:rPr>
        <w:t>,</w:t>
      </w:r>
      <w:r w:rsidR="001E1279" w:rsidRPr="00F760CC">
        <w:rPr>
          <w:rFonts w:ascii="Times New Roman" w:hAnsi="Times New Roman" w:cs="Times New Roman"/>
          <w:sz w:val="24"/>
          <w:szCs w:val="24"/>
        </w:rPr>
        <w:t xml:space="preserve"> aránytalanul nagy terhet róva ezáltal a Vállalkozór</w:t>
      </w:r>
      <w:r w:rsidR="00535B81" w:rsidRPr="00F760CC">
        <w:rPr>
          <w:rFonts w:ascii="Times New Roman" w:hAnsi="Times New Roman" w:cs="Times New Roman"/>
          <w:sz w:val="24"/>
          <w:szCs w:val="24"/>
        </w:rPr>
        <w:t>a.</w:t>
      </w:r>
    </w:p>
    <w:p w14:paraId="08F7C280" w14:textId="77777777" w:rsidR="0040318D" w:rsidRPr="00F760CC" w:rsidRDefault="0040318D" w:rsidP="0040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349C0" w14:textId="298354A2" w:rsidR="00C9028B" w:rsidRPr="00F760CC" w:rsidRDefault="0040318D" w:rsidP="00E26C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0CC">
        <w:rPr>
          <w:rFonts w:ascii="Times New Roman" w:hAnsi="Times New Roman" w:cs="Times New Roman"/>
          <w:color w:val="000000" w:themeColor="text1"/>
          <w:sz w:val="24"/>
          <w:szCs w:val="24"/>
        </w:rPr>
        <w:t>A fentiek okán szükségessé vált a szerződés pénzügyi ütemezésének módosítása (a teljesítés ütemének felgyorsítása), mivel csak ezáltal biztosítható a teljesítés zökkenőmentes kivitelezéséhez a kapacitások lekötésének fokozása, az alapanyagok mielőbbi megvásárlása, beszerzése és raktározása.</w:t>
      </w:r>
    </w:p>
    <w:p w14:paraId="2E529974" w14:textId="77777777" w:rsidR="00E26CF8" w:rsidRPr="00F760CC" w:rsidRDefault="00E26CF8" w:rsidP="00E26C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91BE0" w14:textId="667478F0" w:rsidR="008E0920" w:rsidRPr="00F760CC" w:rsidRDefault="00E26CF8" w:rsidP="008E092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2. </w:t>
      </w:r>
      <w:r w:rsidR="003B4DEE" w:rsidRPr="00F760CC">
        <w:rPr>
          <w:rFonts w:ascii="Times New Roman" w:hAnsi="Times New Roman" w:cs="Times New Roman"/>
          <w:sz w:val="24"/>
          <w:szCs w:val="24"/>
        </w:rPr>
        <w:t>A</w:t>
      </w:r>
      <w:r w:rsidR="008E0920"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="003B4DEE" w:rsidRPr="00F760CC">
        <w:rPr>
          <w:rFonts w:ascii="Times New Roman" w:hAnsi="Times New Roman" w:cs="Times New Roman"/>
          <w:sz w:val="24"/>
          <w:szCs w:val="24"/>
        </w:rPr>
        <w:t xml:space="preserve">teljesítés megkezdését követő </w:t>
      </w:r>
      <w:r w:rsidR="008E0920" w:rsidRPr="00F760CC">
        <w:rPr>
          <w:rFonts w:ascii="Times New Roman" w:hAnsi="Times New Roman" w:cs="Times New Roman"/>
          <w:sz w:val="24"/>
          <w:szCs w:val="24"/>
        </w:rPr>
        <w:t>bontási munkálatok</w:t>
      </w:r>
      <w:r w:rsidR="003B4DEE" w:rsidRPr="00F760CC">
        <w:rPr>
          <w:rFonts w:ascii="Times New Roman" w:hAnsi="Times New Roman" w:cs="Times New Roman"/>
          <w:sz w:val="24"/>
          <w:szCs w:val="24"/>
        </w:rPr>
        <w:t xml:space="preserve"> során</w:t>
      </w:r>
      <w:r w:rsidR="008E0920" w:rsidRPr="00F760CC">
        <w:rPr>
          <w:rFonts w:ascii="Times New Roman" w:hAnsi="Times New Roman" w:cs="Times New Roman"/>
          <w:sz w:val="24"/>
          <w:szCs w:val="24"/>
        </w:rPr>
        <w:t xml:space="preserve"> vált ismert</w:t>
      </w:r>
      <w:r w:rsidR="00D451F3" w:rsidRPr="00F760CC">
        <w:rPr>
          <w:rFonts w:ascii="Times New Roman" w:hAnsi="Times New Roman" w:cs="Times New Roman"/>
          <w:sz w:val="24"/>
          <w:szCs w:val="24"/>
        </w:rPr>
        <w:t>t</w:t>
      </w:r>
      <w:r w:rsidR="008E0920" w:rsidRPr="00F760CC">
        <w:rPr>
          <w:rFonts w:ascii="Times New Roman" w:hAnsi="Times New Roman" w:cs="Times New Roman"/>
          <w:sz w:val="24"/>
          <w:szCs w:val="24"/>
        </w:rPr>
        <w:t>é az alaptestek állapota, melyre figyelemmel szükségessé vált azok utólagos megerősítése</w:t>
      </w:r>
      <w:r w:rsidR="00D451F3" w:rsidRPr="00F760CC">
        <w:rPr>
          <w:rFonts w:ascii="Times New Roman" w:hAnsi="Times New Roman" w:cs="Times New Roman"/>
          <w:sz w:val="24"/>
          <w:szCs w:val="24"/>
        </w:rPr>
        <w:t>. A biztonság</w:t>
      </w:r>
      <w:r w:rsidR="00A15954" w:rsidRPr="00F760CC">
        <w:rPr>
          <w:rFonts w:ascii="Times New Roman" w:hAnsi="Times New Roman" w:cs="Times New Roman"/>
          <w:sz w:val="24"/>
          <w:szCs w:val="24"/>
        </w:rPr>
        <w:t>os</w:t>
      </w:r>
      <w:r w:rsidR="00D451F3" w:rsidRPr="00F760CC">
        <w:rPr>
          <w:rFonts w:ascii="Times New Roman" w:hAnsi="Times New Roman" w:cs="Times New Roman"/>
          <w:sz w:val="24"/>
          <w:szCs w:val="24"/>
        </w:rPr>
        <w:t xml:space="preserve"> és rendeltetésszerű használat biztosításához elengedhetetlen továbbá </w:t>
      </w:r>
      <w:r w:rsidR="008E0920" w:rsidRPr="00F760CC">
        <w:rPr>
          <w:rFonts w:ascii="Times New Roman" w:hAnsi="Times New Roman" w:cs="Times New Roman"/>
          <w:sz w:val="24"/>
          <w:szCs w:val="24"/>
        </w:rPr>
        <w:t>a meglévő párkány és oromfalak bontása, valamint újraépítése, a párkányok bontása következtében a kiviteli tervekben nem szereplő acélszerkezeti megerősítési munkák elvégzése, illetve a többletterhelések miatt a vízszintes síktól eltérő födémszerkezetek megerősítése.</w:t>
      </w:r>
    </w:p>
    <w:p w14:paraId="27C6ADC2" w14:textId="74891CDA" w:rsidR="008E0920" w:rsidRDefault="00E27E6A" w:rsidP="0045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>A</w:t>
      </w:r>
      <w:r w:rsidR="008E0920" w:rsidRPr="00F760CC">
        <w:rPr>
          <w:rFonts w:ascii="Times New Roman" w:hAnsi="Times New Roman" w:cs="Times New Roman"/>
          <w:sz w:val="24"/>
          <w:szCs w:val="24"/>
        </w:rPr>
        <w:t xml:space="preserve"> kivitelezés során feltárt, tárgyi beruházás megvalósításához, illetve rendeltetésszerű használathoz szükséges</w:t>
      </w:r>
      <w:r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="008E0920" w:rsidRPr="00F760CC">
        <w:rPr>
          <w:rFonts w:ascii="Times New Roman" w:hAnsi="Times New Roman" w:cs="Times New Roman"/>
          <w:sz w:val="24"/>
          <w:szCs w:val="24"/>
        </w:rPr>
        <w:t xml:space="preserve">pótmunkák megvalósításával összefüggésben </w:t>
      </w:r>
      <w:r w:rsidR="00497614" w:rsidRPr="00F760CC">
        <w:rPr>
          <w:rFonts w:ascii="Times New Roman" w:hAnsi="Times New Roman" w:cs="Times New Roman"/>
          <w:sz w:val="24"/>
          <w:szCs w:val="24"/>
        </w:rPr>
        <w:t xml:space="preserve">szükségessé vált </w:t>
      </w:r>
      <w:r w:rsidR="008E0920" w:rsidRPr="00F760CC">
        <w:rPr>
          <w:rFonts w:ascii="Times New Roman" w:hAnsi="Times New Roman" w:cs="Times New Roman"/>
          <w:sz w:val="24"/>
          <w:szCs w:val="24"/>
        </w:rPr>
        <w:t>a teljesítési határidő</w:t>
      </w:r>
      <w:r w:rsidR="00497614" w:rsidRPr="00F760CC">
        <w:rPr>
          <w:rFonts w:ascii="Times New Roman" w:hAnsi="Times New Roman" w:cs="Times New Roman"/>
          <w:sz w:val="24"/>
          <w:szCs w:val="24"/>
        </w:rPr>
        <w:t>nek a</w:t>
      </w:r>
      <w:r w:rsidR="008E0920" w:rsidRPr="00F760CC">
        <w:rPr>
          <w:rFonts w:ascii="Times New Roman" w:hAnsi="Times New Roman" w:cs="Times New Roman"/>
          <w:sz w:val="24"/>
          <w:szCs w:val="24"/>
        </w:rPr>
        <w:t xml:space="preserve"> pótmunkák megvalósításával arányban álló mértékű meghos</w:t>
      </w:r>
      <w:r w:rsidR="00497614" w:rsidRPr="00F760CC">
        <w:rPr>
          <w:rFonts w:ascii="Times New Roman" w:hAnsi="Times New Roman" w:cs="Times New Roman"/>
          <w:sz w:val="24"/>
          <w:szCs w:val="24"/>
        </w:rPr>
        <w:t>szabbítása</w:t>
      </w:r>
      <w:r w:rsidRPr="00F760CC">
        <w:rPr>
          <w:rFonts w:ascii="Times New Roman" w:hAnsi="Times New Roman" w:cs="Times New Roman"/>
          <w:sz w:val="24"/>
          <w:szCs w:val="24"/>
        </w:rPr>
        <w:t>, mely</w:t>
      </w:r>
      <w:r w:rsidR="00D451F3" w:rsidRPr="00F760CC">
        <w:rPr>
          <w:rFonts w:ascii="Times New Roman" w:hAnsi="Times New Roman" w:cs="Times New Roman"/>
          <w:sz w:val="24"/>
          <w:szCs w:val="24"/>
        </w:rPr>
        <w:t xml:space="preserve"> igény felmerülését </w:t>
      </w:r>
      <w:r w:rsidR="00497614" w:rsidRPr="00F760CC">
        <w:rPr>
          <w:rFonts w:ascii="Times New Roman" w:hAnsi="Times New Roman" w:cs="Times New Roman"/>
          <w:sz w:val="24"/>
          <w:szCs w:val="24"/>
        </w:rPr>
        <w:t>Megrendelő</w:t>
      </w:r>
      <w:r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="00D451F3" w:rsidRPr="00F760CC">
        <w:rPr>
          <w:rFonts w:ascii="Times New Roman" w:hAnsi="Times New Roman" w:cs="Times New Roman"/>
          <w:sz w:val="24"/>
          <w:szCs w:val="24"/>
        </w:rPr>
        <w:t xml:space="preserve">a szerződés megkötésekor kellő </w:t>
      </w:r>
      <w:r w:rsidRPr="00F760CC">
        <w:rPr>
          <w:rFonts w:ascii="Times New Roman" w:hAnsi="Times New Roman" w:cs="Times New Roman"/>
          <w:sz w:val="24"/>
          <w:szCs w:val="24"/>
        </w:rPr>
        <w:t>gondosság</w:t>
      </w:r>
      <w:r w:rsidR="00497614" w:rsidRPr="00F760CC">
        <w:rPr>
          <w:rFonts w:ascii="Times New Roman" w:hAnsi="Times New Roman" w:cs="Times New Roman"/>
          <w:sz w:val="24"/>
          <w:szCs w:val="24"/>
        </w:rPr>
        <w:t>gal eljárva</w:t>
      </w:r>
      <w:r w:rsidR="00D451F3" w:rsidRPr="00F760CC">
        <w:rPr>
          <w:rFonts w:ascii="Times New Roman" w:hAnsi="Times New Roman" w:cs="Times New Roman"/>
          <w:sz w:val="24"/>
          <w:szCs w:val="24"/>
        </w:rPr>
        <w:t xml:space="preserve"> </w:t>
      </w:r>
      <w:r w:rsidRPr="00F760CC">
        <w:rPr>
          <w:rFonts w:ascii="Times New Roman" w:hAnsi="Times New Roman" w:cs="Times New Roman"/>
          <w:sz w:val="24"/>
          <w:szCs w:val="24"/>
        </w:rPr>
        <w:t>sem láthat</w:t>
      </w:r>
      <w:r w:rsidR="00497614" w:rsidRPr="00F760CC">
        <w:rPr>
          <w:rFonts w:ascii="Times New Roman" w:hAnsi="Times New Roman" w:cs="Times New Roman"/>
          <w:sz w:val="24"/>
          <w:szCs w:val="24"/>
        </w:rPr>
        <w:t>ott</w:t>
      </w:r>
      <w:r w:rsidRPr="00F760CC">
        <w:rPr>
          <w:rFonts w:ascii="Times New Roman" w:hAnsi="Times New Roman" w:cs="Times New Roman"/>
          <w:sz w:val="24"/>
          <w:szCs w:val="24"/>
        </w:rPr>
        <w:t xml:space="preserve"> előre.</w:t>
      </w:r>
      <w:r w:rsidR="008E0920" w:rsidRPr="00E27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4C08B" w14:textId="77777777" w:rsidR="00453F6D" w:rsidRDefault="00453F6D" w:rsidP="0045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67E32" w14:textId="68954CD4" w:rsidR="001B627A" w:rsidRDefault="001B627A" w:rsidP="0045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0BC4">
        <w:rPr>
          <w:rFonts w:ascii="Times New Roman" w:hAnsi="Times New Roman" w:cs="Times New Roman"/>
          <w:sz w:val="24"/>
          <w:szCs w:val="24"/>
          <w:u w:val="single"/>
        </w:rPr>
        <w:t>2.2.</w:t>
      </w:r>
      <w:r w:rsidR="00190BC4" w:rsidRPr="00190BC4">
        <w:rPr>
          <w:u w:val="single"/>
        </w:rPr>
        <w:t xml:space="preserve"> </w:t>
      </w:r>
      <w:r w:rsidR="00190BC4" w:rsidRPr="00190BC4">
        <w:rPr>
          <w:rFonts w:ascii="Times New Roman" w:hAnsi="Times New Roman" w:cs="Times New Roman"/>
          <w:sz w:val="24"/>
          <w:szCs w:val="24"/>
          <w:u w:val="single"/>
        </w:rPr>
        <w:t>A módosítás nem változtatja meg a szerződés általános jellegét:</w:t>
      </w:r>
    </w:p>
    <w:p w14:paraId="460842E0" w14:textId="0677FCF7" w:rsidR="006D11AC" w:rsidRDefault="00190BC4" w:rsidP="00D92C6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C62">
        <w:rPr>
          <w:rFonts w:ascii="Times New Roman" w:hAnsi="Times New Roman" w:cs="Times New Roman"/>
          <w:sz w:val="24"/>
          <w:szCs w:val="24"/>
        </w:rPr>
        <w:t>A módosítás nem változtatja meg a szerződés általános jellegét, tekintve, hogy Vállalkozó továbbra is a szerződ</w:t>
      </w:r>
      <w:r w:rsidR="00F214DA" w:rsidRPr="00D92C62">
        <w:rPr>
          <w:rFonts w:ascii="Times New Roman" w:hAnsi="Times New Roman" w:cs="Times New Roman"/>
          <w:sz w:val="24"/>
          <w:szCs w:val="24"/>
        </w:rPr>
        <w:t>é</w:t>
      </w:r>
      <w:r w:rsidRPr="00D92C62">
        <w:rPr>
          <w:rFonts w:ascii="Times New Roman" w:hAnsi="Times New Roman" w:cs="Times New Roman"/>
          <w:sz w:val="24"/>
          <w:szCs w:val="24"/>
        </w:rPr>
        <w:t>skötést megel</w:t>
      </w:r>
      <w:r w:rsidR="00F214DA" w:rsidRPr="00D92C62">
        <w:rPr>
          <w:rFonts w:ascii="Times New Roman" w:hAnsi="Times New Roman" w:cs="Times New Roman"/>
          <w:sz w:val="24"/>
          <w:szCs w:val="24"/>
        </w:rPr>
        <w:t>őző közbeszerzési eljárásban meghatározott műszaki tartalom megvalósítására köteles</w:t>
      </w:r>
      <w:r w:rsidR="00272B81" w:rsidRPr="00D92C62">
        <w:rPr>
          <w:rFonts w:ascii="Times New Roman" w:hAnsi="Times New Roman" w:cs="Times New Roman"/>
          <w:sz w:val="24"/>
          <w:szCs w:val="24"/>
        </w:rPr>
        <w:t xml:space="preserve">. A kivitelezés során felmerült, a beruházás biztonságos és rendeltetésszerű használatához szükséges </w:t>
      </w:r>
      <w:r w:rsidR="00800253" w:rsidRPr="00D92C62">
        <w:rPr>
          <w:rFonts w:ascii="Times New Roman" w:hAnsi="Times New Roman" w:cs="Times New Roman"/>
          <w:sz w:val="24"/>
          <w:szCs w:val="24"/>
        </w:rPr>
        <w:t xml:space="preserve">pótmunkák ezen eredeti műszaki tartalom által meghatározott cél megvalósításához szükségesek, valamint a hazai és nemzetközi körülmények által </w:t>
      </w:r>
      <w:r w:rsidR="00D92C62">
        <w:rPr>
          <w:rFonts w:ascii="Times New Roman" w:hAnsi="Times New Roman" w:cs="Times New Roman"/>
          <w:sz w:val="24"/>
          <w:szCs w:val="24"/>
        </w:rPr>
        <w:t>szükségessé vált pénzügyi ütemezés módosítás szintén nem jár a szerződés általános jellegének módosulásával.</w:t>
      </w:r>
    </w:p>
    <w:p w14:paraId="0D9CD3DE" w14:textId="6E57F945" w:rsidR="00A97EA6" w:rsidRPr="00E37E1E" w:rsidRDefault="00A97EA6" w:rsidP="00E37E1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szerződésmódosítás alapján egyedüli változás a kivitelezés során feltárt, tárgyi beruházás megvalósításához</w:t>
      </w:r>
      <w:r w:rsidR="00B403B1">
        <w:rPr>
          <w:rFonts w:ascii="Times New Roman" w:hAnsi="Times New Roman" w:cs="Times New Roman"/>
          <w:sz w:val="24"/>
          <w:szCs w:val="24"/>
        </w:rPr>
        <w:t>, illetve rendeltetésszerű</w:t>
      </w:r>
      <w:r w:rsidR="00D92C62">
        <w:rPr>
          <w:rFonts w:ascii="Times New Roman" w:hAnsi="Times New Roman" w:cs="Times New Roman"/>
          <w:sz w:val="24"/>
          <w:szCs w:val="24"/>
        </w:rPr>
        <w:t xml:space="preserve"> és biztonságos</w:t>
      </w:r>
      <w:r w:rsidR="00B403B1">
        <w:rPr>
          <w:rFonts w:ascii="Times New Roman" w:hAnsi="Times New Roman" w:cs="Times New Roman"/>
          <w:sz w:val="24"/>
          <w:szCs w:val="24"/>
        </w:rPr>
        <w:t xml:space="preserve"> használathoz szükséges pótmunkák megvalósításával összefüggésben </w:t>
      </w:r>
      <w:r w:rsidR="00E05955">
        <w:rPr>
          <w:rFonts w:ascii="Times New Roman" w:hAnsi="Times New Roman" w:cs="Times New Roman"/>
          <w:sz w:val="24"/>
          <w:szCs w:val="24"/>
        </w:rPr>
        <w:t xml:space="preserve">(a pótmunkák megvalósításával arányban álló mértékű) </w:t>
      </w:r>
      <w:r w:rsidR="00B403B1">
        <w:rPr>
          <w:rFonts w:ascii="Times New Roman" w:hAnsi="Times New Roman" w:cs="Times New Roman"/>
          <w:sz w:val="24"/>
          <w:szCs w:val="24"/>
        </w:rPr>
        <w:t>a teljesítési határidő</w:t>
      </w:r>
      <w:r w:rsidR="00E05955">
        <w:rPr>
          <w:rFonts w:ascii="Times New Roman" w:hAnsi="Times New Roman" w:cs="Times New Roman"/>
          <w:sz w:val="24"/>
          <w:szCs w:val="24"/>
        </w:rPr>
        <w:t xml:space="preserve"> </w:t>
      </w:r>
      <w:r w:rsidR="00B403B1">
        <w:rPr>
          <w:rFonts w:ascii="Times New Roman" w:hAnsi="Times New Roman" w:cs="Times New Roman"/>
          <w:sz w:val="24"/>
          <w:szCs w:val="24"/>
        </w:rPr>
        <w:t>meghosszabbítása</w:t>
      </w:r>
      <w:r w:rsidR="00CF3485">
        <w:rPr>
          <w:rFonts w:ascii="Times New Roman" w:hAnsi="Times New Roman" w:cs="Times New Roman"/>
          <w:sz w:val="24"/>
          <w:szCs w:val="24"/>
        </w:rPr>
        <w:t xml:space="preserve">, illetőleg a </w:t>
      </w:r>
      <w:r w:rsidR="00E05955">
        <w:rPr>
          <w:rFonts w:ascii="Times New Roman" w:hAnsi="Times New Roman" w:cs="Times New Roman"/>
          <w:sz w:val="24"/>
          <w:szCs w:val="24"/>
        </w:rPr>
        <w:t>szerződés pénzügyi ütemezésének (részszámlázás) módosítása</w:t>
      </w:r>
      <w:r w:rsidR="002377A9">
        <w:rPr>
          <w:rFonts w:ascii="Times New Roman" w:hAnsi="Times New Roman" w:cs="Times New Roman"/>
          <w:sz w:val="24"/>
          <w:szCs w:val="24"/>
        </w:rPr>
        <w:t>.</w:t>
      </w:r>
    </w:p>
    <w:p w14:paraId="7FFF7767" w14:textId="2CA4CF41" w:rsidR="001B627A" w:rsidRDefault="001B627A" w:rsidP="0045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0BC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="00190BC4" w:rsidRPr="00190BC4">
        <w:rPr>
          <w:u w:val="single"/>
        </w:rPr>
        <w:t xml:space="preserve"> </w:t>
      </w:r>
      <w:r w:rsidR="00190BC4" w:rsidRPr="00190BC4">
        <w:rPr>
          <w:rFonts w:ascii="Times New Roman" w:hAnsi="Times New Roman" w:cs="Times New Roman"/>
          <w:sz w:val="24"/>
          <w:szCs w:val="24"/>
          <w:u w:val="single"/>
        </w:rPr>
        <w:t>Az ellenérték növekedése nem haladja meg az eredeti szerződés értékének 50%-át</w:t>
      </w:r>
      <w:r w:rsidR="00190B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1378A9" w14:textId="3F8F033D" w:rsidR="00685E2A" w:rsidRDefault="002377A9" w:rsidP="00F67F1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Tárgyi szerződésmódosítás eredményeként a szerződés</w:t>
      </w:r>
      <w:r w:rsidR="00C34BDB">
        <w:rPr>
          <w:rFonts w:ascii="Times New Roman" w:hAnsi="Times New Roman" w:cs="Times New Roman"/>
          <w:sz w:val="24"/>
          <w:szCs w:val="24"/>
        </w:rPr>
        <w:t>es ár nem változik.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EC754" w14:textId="77777777" w:rsidR="00BD2DD2" w:rsidRPr="003505CC" w:rsidRDefault="00BD2DD2" w:rsidP="00BD2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6453">
        <w:rPr>
          <w:rFonts w:ascii="Times New Roman" w:hAnsi="Times New Roman" w:cs="Times New Roman"/>
          <w:b/>
          <w:bCs/>
          <w:sz w:val="24"/>
          <w:szCs w:val="24"/>
          <w:u w:val="single"/>
        </w:rPr>
        <w:t>III. A szerződés módosuló rendelkezései:</w:t>
      </w:r>
    </w:p>
    <w:p w14:paraId="3B291024" w14:textId="77777777" w:rsidR="002B5F95" w:rsidRDefault="002B5F95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CD2C73" w14:textId="3E9910E6" w:rsidR="0097029A" w:rsidRDefault="003E446C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9A">
        <w:rPr>
          <w:rFonts w:ascii="Times New Roman" w:hAnsi="Times New Roman" w:cs="Times New Roman"/>
          <w:sz w:val="24"/>
          <w:szCs w:val="24"/>
        </w:rPr>
        <w:t>A szerződés VI. 2. pontja az alábbiak szerint módosul:</w:t>
      </w:r>
    </w:p>
    <w:p w14:paraId="112A0F57" w14:textId="0BEC1CB4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BC533" w14:textId="5BFB7D52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9A">
        <w:rPr>
          <w:rFonts w:ascii="Times New Roman" w:hAnsi="Times New Roman" w:cs="Times New Roman"/>
          <w:sz w:val="24"/>
          <w:szCs w:val="24"/>
          <w:u w:val="single"/>
        </w:rPr>
        <w:t>Eredeti rendelkezés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392FC0" w14:textId="4B8496D7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9A">
        <w:rPr>
          <w:rFonts w:ascii="Times New Roman" w:hAnsi="Times New Roman" w:cs="Times New Roman"/>
          <w:sz w:val="24"/>
          <w:szCs w:val="24"/>
        </w:rPr>
        <w:t>A szerződés teljesítésének véghatárideje, határnapja: a munkaterület átadásától számított 6 hónap.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B8B73" w14:textId="42419058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EE620" w14:textId="5A03910C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9A">
        <w:rPr>
          <w:rFonts w:ascii="Times New Roman" w:hAnsi="Times New Roman" w:cs="Times New Roman"/>
          <w:sz w:val="24"/>
          <w:szCs w:val="24"/>
          <w:u w:val="single"/>
        </w:rPr>
        <w:t>Módosítást követően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D4E887" w14:textId="7A0CE04B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0CC">
        <w:rPr>
          <w:rFonts w:ascii="Times New Roman" w:hAnsi="Times New Roman" w:cs="Times New Roman"/>
          <w:sz w:val="24"/>
          <w:szCs w:val="24"/>
        </w:rPr>
        <w:t xml:space="preserve">A szerződés teljesítésének véghatárideje, határnapja: </w:t>
      </w:r>
      <w:r w:rsidR="00B10B77" w:rsidRPr="00F760CC">
        <w:rPr>
          <w:rFonts w:ascii="Times New Roman" w:hAnsi="Times New Roman" w:cs="Times New Roman"/>
          <w:sz w:val="24"/>
          <w:szCs w:val="24"/>
        </w:rPr>
        <w:t>2023.március 1</w:t>
      </w:r>
      <w:bookmarkStart w:id="0" w:name="_GoBack"/>
      <w:bookmarkEnd w:id="0"/>
      <w:r w:rsidR="00B10B77" w:rsidRPr="00F760CC">
        <w:rPr>
          <w:rFonts w:ascii="Times New Roman" w:hAnsi="Times New Roman" w:cs="Times New Roman"/>
          <w:sz w:val="24"/>
          <w:szCs w:val="24"/>
        </w:rPr>
        <w:t>3.</w:t>
      </w:r>
    </w:p>
    <w:p w14:paraId="225EA018" w14:textId="77777777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88CB" w14:textId="77777777" w:rsidR="0097029A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7C5DB" w14:textId="29E8BE85" w:rsidR="003D63CB" w:rsidRPr="003E446C" w:rsidRDefault="0097029A" w:rsidP="003E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63CB" w:rsidRPr="003E446C">
        <w:rPr>
          <w:rFonts w:ascii="Times New Roman" w:hAnsi="Times New Roman" w:cs="Times New Roman"/>
          <w:sz w:val="24"/>
          <w:szCs w:val="24"/>
        </w:rPr>
        <w:t xml:space="preserve">A szerződés </w:t>
      </w:r>
      <w:r w:rsidR="00EC695D">
        <w:rPr>
          <w:rFonts w:ascii="Times New Roman" w:hAnsi="Times New Roman" w:cs="Times New Roman"/>
          <w:sz w:val="24"/>
          <w:szCs w:val="24"/>
        </w:rPr>
        <w:t>XII</w:t>
      </w:r>
      <w:r w:rsidR="00C426FB">
        <w:rPr>
          <w:rFonts w:ascii="Times New Roman" w:hAnsi="Times New Roman" w:cs="Times New Roman"/>
          <w:sz w:val="24"/>
          <w:szCs w:val="24"/>
        </w:rPr>
        <w:t>I</w:t>
      </w:r>
      <w:r w:rsidR="003D63CB" w:rsidRPr="003E446C">
        <w:rPr>
          <w:rFonts w:ascii="Times New Roman" w:hAnsi="Times New Roman" w:cs="Times New Roman"/>
          <w:sz w:val="24"/>
          <w:szCs w:val="24"/>
        </w:rPr>
        <w:t>. fejezet</w:t>
      </w:r>
      <w:r w:rsidR="003D0048">
        <w:rPr>
          <w:rFonts w:ascii="Times New Roman" w:hAnsi="Times New Roman" w:cs="Times New Roman"/>
          <w:sz w:val="24"/>
          <w:szCs w:val="24"/>
        </w:rPr>
        <w:t xml:space="preserve">e </w:t>
      </w:r>
      <w:r w:rsidR="003D63CB" w:rsidRPr="003E446C">
        <w:rPr>
          <w:rFonts w:ascii="Times New Roman" w:hAnsi="Times New Roman" w:cs="Times New Roman"/>
          <w:sz w:val="24"/>
          <w:szCs w:val="24"/>
        </w:rPr>
        <w:t>az alábbiak szerint módosul:</w:t>
      </w:r>
    </w:p>
    <w:p w14:paraId="3FB005D4" w14:textId="5EDC6C08" w:rsidR="003D63CB" w:rsidRDefault="003D63CB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7822" w14:textId="270B70D1" w:rsidR="006B43A4" w:rsidRPr="003D0048" w:rsidRDefault="003D63CB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3CB">
        <w:rPr>
          <w:rFonts w:ascii="Times New Roman" w:hAnsi="Times New Roman" w:cs="Times New Roman"/>
          <w:sz w:val="24"/>
          <w:szCs w:val="24"/>
          <w:u w:val="single"/>
        </w:rPr>
        <w:t>Eredeti rendelkezés:</w:t>
      </w:r>
    </w:p>
    <w:p w14:paraId="1D62FC26" w14:textId="77777777" w:rsidR="003D0048" w:rsidRPr="00BB0673" w:rsidRDefault="003D0048" w:rsidP="003D00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673">
        <w:rPr>
          <w:rFonts w:ascii="Times New Roman" w:hAnsi="Times New Roman" w:cs="Times New Roman"/>
          <w:b/>
          <w:sz w:val="24"/>
          <w:szCs w:val="24"/>
        </w:rPr>
        <w:t xml:space="preserve">Részszámlázás ütemezése: </w:t>
      </w:r>
    </w:p>
    <w:tbl>
      <w:tblPr>
        <w:tblW w:w="878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402"/>
      </w:tblGrid>
      <w:tr w:rsidR="00C426FB" w:rsidRPr="00C426FB" w14:paraId="4BBD5417" w14:textId="77777777" w:rsidTr="00585CEF">
        <w:trPr>
          <w:trHeight w:val="1053"/>
        </w:trPr>
        <w:tc>
          <w:tcPr>
            <w:tcW w:w="53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7067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Részszámlázási ütem</w:t>
            </w:r>
          </w:p>
        </w:tc>
        <w:tc>
          <w:tcPr>
            <w:tcW w:w="34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F3CA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Számlázható vállalkozói díj (a teljes nettó vállalkozói díj %-a)</w:t>
            </w:r>
          </w:p>
        </w:tc>
      </w:tr>
      <w:tr w:rsidR="00C426FB" w:rsidRPr="00C426FB" w14:paraId="1793F1A6" w14:textId="77777777" w:rsidTr="00585CE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C9AD" w14:textId="77777777" w:rsidR="00C426FB" w:rsidRPr="00C426FB" w:rsidRDefault="00C426FB" w:rsidP="00C426FB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Előleg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CB16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max. 200.000.000, - Ft</w:t>
            </w:r>
          </w:p>
        </w:tc>
      </w:tr>
      <w:tr w:rsidR="00C426FB" w:rsidRPr="00C426FB" w14:paraId="4BB3AFB1" w14:textId="77777777" w:rsidTr="00585CE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1AF0" w14:textId="77777777" w:rsidR="00C426FB" w:rsidRPr="00C426FB" w:rsidRDefault="00C426FB" w:rsidP="00C426FB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1. fizetési ütem (a szerződéses érték 15 %-át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346B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14:paraId="225FAE6F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(fizetendő díjként a kért előleg 5%-ával csökkentett összeg tüntethető fel)</w:t>
            </w:r>
          </w:p>
        </w:tc>
      </w:tr>
      <w:tr w:rsidR="00C426FB" w:rsidRPr="00C426FB" w14:paraId="2A3BE5E3" w14:textId="77777777" w:rsidTr="00585CE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EB33" w14:textId="77777777" w:rsidR="00C426FB" w:rsidRPr="00C426FB" w:rsidRDefault="00C426FB" w:rsidP="00C426FB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2. fizetési ütem (a szerződéses érték 35 %-át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CB75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17A82FBB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(fizetendő díjként a kért előleg 20%-ával csökkentett összeg tüntethető fel)</w:t>
            </w:r>
          </w:p>
        </w:tc>
      </w:tr>
      <w:tr w:rsidR="00C426FB" w:rsidRPr="00C426FB" w14:paraId="11A278E2" w14:textId="77777777" w:rsidTr="00585CE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FDD8" w14:textId="77777777" w:rsidR="00C426FB" w:rsidRPr="00C426FB" w:rsidRDefault="00C426FB" w:rsidP="00C426FB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3. fizetési ütem (a szerződéses érték 55 %-át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3324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28EFC698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(fizetendő díjként a kért előleg 25%-ával csökkentett összeg tüntethető fel)</w:t>
            </w:r>
          </w:p>
        </w:tc>
      </w:tr>
      <w:tr w:rsidR="00C426FB" w:rsidRPr="00C426FB" w14:paraId="15011DB9" w14:textId="77777777" w:rsidTr="00585CE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2A67" w14:textId="77777777" w:rsidR="00C426FB" w:rsidRPr="00C426FB" w:rsidRDefault="00C426FB" w:rsidP="00C426FB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4. fizetési ütem (a szerződéses érték 80 %-át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8304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14:paraId="7B3E02DF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(fizetendő díjként a kért előleg 25%-ával csökkentett összeg tüntethető fel)</w:t>
            </w:r>
          </w:p>
        </w:tc>
      </w:tr>
      <w:tr w:rsidR="00C426FB" w:rsidRPr="00C426FB" w14:paraId="131500FB" w14:textId="77777777" w:rsidTr="00585CEF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0DA8" w14:textId="77777777" w:rsidR="00C426FB" w:rsidRPr="00C426FB" w:rsidRDefault="00C426FB" w:rsidP="00C426FB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5. fizetési - végszámlázási - ütem (a szerződéses érték 100%-át elérő megvalósult teljesítés és valamennyi szerződés szerinti kötelezettség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E2DC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0912034B" w14:textId="77777777" w:rsidR="00C426FB" w:rsidRPr="00C426FB" w:rsidRDefault="00C426FB" w:rsidP="00C426F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FB">
              <w:rPr>
                <w:rFonts w:ascii="Times New Roman" w:hAnsi="Times New Roman" w:cs="Times New Roman"/>
                <w:sz w:val="24"/>
                <w:szCs w:val="24"/>
              </w:rPr>
              <w:t>(fizetendő díjként a kért előleg 25%-ával csökkentett összeg tüntethető fel)</w:t>
            </w:r>
          </w:p>
        </w:tc>
      </w:tr>
    </w:tbl>
    <w:p w14:paraId="7B84C70C" w14:textId="77777777" w:rsidR="003D0048" w:rsidRDefault="003D0048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D052E" w14:textId="74E43EA5" w:rsidR="003D63CB" w:rsidRPr="00C30CA8" w:rsidRDefault="003D63CB" w:rsidP="003D63CB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Direction w:val="btLr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0CA8">
        <w:rPr>
          <w:rFonts w:ascii="Times New Roman" w:hAnsi="Times New Roman" w:cs="Times New Roman"/>
          <w:b/>
          <w:bCs/>
          <w:sz w:val="24"/>
          <w:szCs w:val="24"/>
          <w:u w:val="single"/>
        </w:rPr>
        <w:t>Módosítást követően:</w:t>
      </w:r>
    </w:p>
    <w:p w14:paraId="1BBAF6D9" w14:textId="77777777" w:rsidR="003D0048" w:rsidRPr="00BB0673" w:rsidRDefault="003D0048" w:rsidP="003D004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673">
        <w:rPr>
          <w:rFonts w:ascii="Times New Roman" w:hAnsi="Times New Roman" w:cs="Times New Roman"/>
          <w:b/>
          <w:sz w:val="24"/>
          <w:szCs w:val="24"/>
        </w:rPr>
        <w:t xml:space="preserve">Részszámlázás ütemezése: </w:t>
      </w:r>
    </w:p>
    <w:tbl>
      <w:tblPr>
        <w:tblW w:w="878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402"/>
      </w:tblGrid>
      <w:tr w:rsidR="003D0048" w:rsidRPr="00BB0673" w14:paraId="49F993A0" w14:textId="77777777" w:rsidTr="00714507">
        <w:trPr>
          <w:trHeight w:val="1053"/>
        </w:trPr>
        <w:tc>
          <w:tcPr>
            <w:tcW w:w="53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A85D" w14:textId="77777777" w:rsidR="003D0048" w:rsidRPr="00BB0673" w:rsidRDefault="003D0048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Részszámlázási ütem</w:t>
            </w:r>
          </w:p>
        </w:tc>
        <w:tc>
          <w:tcPr>
            <w:tcW w:w="340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E735" w14:textId="77777777" w:rsidR="003D0048" w:rsidRPr="00BB0673" w:rsidRDefault="003D0048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Számlázható vállalkozói díj (a teljes nettó vállalkozói díj %-a)</w:t>
            </w:r>
          </w:p>
        </w:tc>
      </w:tr>
      <w:tr w:rsidR="003D0048" w:rsidRPr="00BB0673" w14:paraId="26F86CCC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43E2" w14:textId="77777777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Előleg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F802" w14:textId="106E799F" w:rsidR="003D0048" w:rsidRPr="00C2682E" w:rsidRDefault="00C426FB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200. 000. 000</w:t>
            </w:r>
            <w:r w:rsidR="00762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Ft</w:t>
            </w:r>
          </w:p>
        </w:tc>
      </w:tr>
      <w:tr w:rsidR="003D0048" w:rsidRPr="00BB0673" w14:paraId="5A58098A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A28E" w14:textId="7401CDC1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1. fizetési ütem (a szerződéses érték </w:t>
            </w:r>
            <w:r w:rsidR="001B627A" w:rsidRPr="00C2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5 %-át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F042" w14:textId="4E35AE88" w:rsidR="003D0048" w:rsidRPr="00C2682E" w:rsidRDefault="001B627A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048" w:rsidRPr="00C2682E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D0048" w:rsidRPr="00BB0673" w14:paraId="4D857D99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CCD2" w14:textId="2F30075A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2. fizetési ütem (a szerződéses érték 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7E64" w14:textId="130FE7B8" w:rsidR="003D0048" w:rsidRPr="00C2682E" w:rsidRDefault="00C426FB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27A" w:rsidRPr="00C26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048"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D0048" w:rsidRPr="00BB0673" w14:paraId="359C0DB6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2410" w14:textId="6A97C97B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3. fizetési ütem (a szerződéses érték 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263E" w14:textId="56CED50D" w:rsidR="003D0048" w:rsidRPr="00C2682E" w:rsidRDefault="001B627A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048"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D0048" w:rsidRPr="00BB0673" w14:paraId="5314134A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078F" w14:textId="6B565D9E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4. fizetési ütem (a szerződéses érték 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27A" w:rsidRPr="00C26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C83A" w14:textId="516F73CD" w:rsidR="003D0048" w:rsidRPr="00C2682E" w:rsidRDefault="001B627A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D0048" w:rsidRPr="00BB0673" w14:paraId="073DE833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0C96" w14:textId="30479399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5. fizetési ütem (a szerződéses érték 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%-át elérő megvalósult teljesítés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17F6" w14:textId="77777777" w:rsidR="003D0048" w:rsidRDefault="001B627A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50CA9834" w14:textId="7C0B5C90" w:rsidR="00D33A57" w:rsidRPr="00C2682E" w:rsidRDefault="00D33A57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(fizetendő díjként a kért előleg 50 %-ával csökkentett összeg tüntethető fel)</w:t>
            </w:r>
          </w:p>
        </w:tc>
      </w:tr>
      <w:tr w:rsidR="003D0048" w:rsidRPr="00BB0673" w14:paraId="489BA962" w14:textId="77777777" w:rsidTr="0071450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DC41" w14:textId="2382528A" w:rsidR="003D0048" w:rsidRPr="00C2682E" w:rsidRDefault="003D0048" w:rsidP="0071450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6. fizetési - végszámlázási - ütem (a szerződéses érték 100%-át elérő megvalósult teljesítés és valamennyi szerződés szerinti kötelezettség esetén)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7AFC" w14:textId="5AEAF8B9" w:rsidR="003D0048" w:rsidRDefault="003D0048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682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  <w:p w14:paraId="0354A727" w14:textId="2458604C" w:rsidR="00D33A57" w:rsidRPr="00C2682E" w:rsidRDefault="00D33A57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(fizetendő díjként a kért előleg 50 %-ával csökkentett összeg tüntethető fel)</w:t>
            </w:r>
          </w:p>
          <w:p w14:paraId="0A06F96E" w14:textId="67EED5D7" w:rsidR="003D0048" w:rsidRPr="00C2682E" w:rsidRDefault="003D0048" w:rsidP="007145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7891E" w14:textId="77777777" w:rsidR="003D0048" w:rsidRDefault="003D0048" w:rsidP="001B6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A1B27" w14:textId="15A6C9FA" w:rsidR="00BD2DD2" w:rsidRDefault="00BD2DD2" w:rsidP="003E4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IV. Egyéb rendelkezések</w:t>
      </w:r>
    </w:p>
    <w:p w14:paraId="5A907970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FA875" w14:textId="28F5C98A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 Szerződésmódosítás a</w:t>
      </w:r>
      <w:r w:rsidR="003F0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szerződés részét képezi, kizárólag azzal együttesen érvényes.</w:t>
      </w:r>
    </w:p>
    <w:p w14:paraId="693E8A7C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3AC2A" w14:textId="4F926416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6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Felek rögzítik, hogy </w:t>
      </w:r>
      <w:r w:rsidR="00D667F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szerződés egyéb rendelkezései változatlan tartalommal érvényben maradnak.</w:t>
      </w:r>
    </w:p>
    <w:p w14:paraId="6800770F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4764E" w14:textId="727E6095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Felek a jelen </w:t>
      </w:r>
      <w:r w:rsidR="00B3221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zerződésmódosítást elolvasták, azt közösen értelmezték, és saját elhatározásukból, minden befolyástól mentesen, mint ügyleti akaratukkal mindenben megegyezőt, a képviselet szabályainak megtartásával saját kezűleg aláírták.</w:t>
      </w:r>
    </w:p>
    <w:p w14:paraId="7B9B71D6" w14:textId="77777777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2757" w14:textId="31348ED5" w:rsidR="00BD2DD2" w:rsidRDefault="00BD2DD2" w:rsidP="00BD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Jelen Szerződésmódosítás </w:t>
      </w:r>
      <w:r w:rsidR="00616D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(hat) db azonos, a Felek által cégszerűen aláírt eredeti példányban készült magyar nyelven, melyből </w:t>
      </w:r>
      <w:r w:rsidR="00D667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667F0">
        <w:rPr>
          <w:rFonts w:ascii="Times New Roman" w:hAnsi="Times New Roman" w:cs="Times New Roman"/>
          <w:sz w:val="24"/>
          <w:szCs w:val="24"/>
        </w:rPr>
        <w:t>kettő</w:t>
      </w:r>
      <w:r>
        <w:rPr>
          <w:rFonts w:ascii="Times New Roman" w:hAnsi="Times New Roman" w:cs="Times New Roman"/>
          <w:sz w:val="24"/>
          <w:szCs w:val="24"/>
        </w:rPr>
        <w:t xml:space="preserve">) db példány Vállalkozóé, </w:t>
      </w:r>
      <w:r w:rsidR="00616D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F1F27">
        <w:rPr>
          <w:rFonts w:ascii="Times New Roman" w:hAnsi="Times New Roman" w:cs="Times New Roman"/>
          <w:sz w:val="24"/>
          <w:szCs w:val="24"/>
        </w:rPr>
        <w:t>négy</w:t>
      </w:r>
      <w:r>
        <w:rPr>
          <w:rFonts w:ascii="Times New Roman" w:hAnsi="Times New Roman" w:cs="Times New Roman"/>
          <w:sz w:val="24"/>
          <w:szCs w:val="24"/>
        </w:rPr>
        <w:t>) db példány Megrendelőé.</w:t>
      </w:r>
    </w:p>
    <w:p w14:paraId="551A7FB3" w14:textId="196F4B1C" w:rsidR="00AD321A" w:rsidRDefault="00AD321A" w:rsidP="00AD321A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13B20" w14:textId="77777777" w:rsidR="00F67F13" w:rsidRPr="00893186" w:rsidRDefault="00F67F13" w:rsidP="00AD321A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F1115E" w14:textId="77777777" w:rsidR="00893186" w:rsidRPr="00893186" w:rsidRDefault="00893186" w:rsidP="00AD321A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06"/>
        <w:gridCol w:w="1255"/>
        <w:gridCol w:w="3819"/>
      </w:tblGrid>
      <w:tr w:rsidR="00AD321A" w:rsidRPr="00893186" w14:paraId="45E70EEE" w14:textId="77777777" w:rsidTr="00896384">
        <w:trPr>
          <w:jc w:val="center"/>
        </w:trPr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8DE89E" w14:textId="77777777" w:rsidR="00B83DD7" w:rsidRPr="00B83DD7" w:rsidRDefault="00B83DD7" w:rsidP="00453F6D">
            <w:pPr>
              <w:tabs>
                <w:tab w:val="center" w:pos="4536"/>
                <w:tab w:val="right" w:pos="907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x-none"/>
              </w:rPr>
            </w:pPr>
            <w:r w:rsidRPr="00B83D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x-none"/>
              </w:rPr>
              <w:t>Megrendelő</w:t>
            </w:r>
          </w:p>
          <w:p w14:paraId="4B21DF1F" w14:textId="77777777" w:rsidR="00B83DD7" w:rsidRPr="00B83DD7" w:rsidRDefault="00B83DD7" w:rsidP="00453F6D">
            <w:pPr>
              <w:tabs>
                <w:tab w:val="center" w:pos="4536"/>
                <w:tab w:val="right" w:pos="9072"/>
              </w:tabs>
              <w:spacing w:before="120"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B83D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x-none"/>
              </w:rPr>
              <w:t>Horváth Csaba polgármester</w:t>
            </w:r>
          </w:p>
          <w:p w14:paraId="7D9C55BB" w14:textId="6D798D6A" w:rsidR="00AD321A" w:rsidRPr="00893186" w:rsidRDefault="00B83DD7" w:rsidP="00453F6D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3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Budapest Főváros XIV. Kerület Zugló Önkormányzata</w:t>
            </w:r>
          </w:p>
        </w:tc>
        <w:tc>
          <w:tcPr>
            <w:tcW w:w="1255" w:type="dxa"/>
            <w:vAlign w:val="center"/>
          </w:tcPr>
          <w:p w14:paraId="7191F2D2" w14:textId="77777777" w:rsidR="00AD321A" w:rsidRPr="00893186" w:rsidRDefault="00AD321A" w:rsidP="00AD321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2FDD3C" w14:textId="77777777" w:rsidR="00B83DD7" w:rsidRPr="00B83DD7" w:rsidRDefault="00B83DD7" w:rsidP="00453F6D">
            <w:pPr>
              <w:tabs>
                <w:tab w:val="center" w:pos="4536"/>
                <w:tab w:val="right" w:pos="907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x-none"/>
              </w:rPr>
            </w:pPr>
            <w:r w:rsidRPr="00B83D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x-none"/>
              </w:rPr>
              <w:t>Vállalkozó</w:t>
            </w:r>
          </w:p>
          <w:p w14:paraId="5E46F21B" w14:textId="77777777" w:rsidR="00B83DD7" w:rsidRPr="00B83DD7" w:rsidRDefault="00B83DD7" w:rsidP="00453F6D">
            <w:pPr>
              <w:tabs>
                <w:tab w:val="center" w:pos="4536"/>
                <w:tab w:val="right" w:pos="907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B8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Túri Árpád Pál vezérigazgató</w:t>
            </w:r>
          </w:p>
          <w:p w14:paraId="213D40AE" w14:textId="6693BCC1" w:rsidR="00AD321A" w:rsidRPr="00893186" w:rsidRDefault="00B83DD7" w:rsidP="00453F6D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3DD7">
              <w:rPr>
                <w:rFonts w:ascii="Times New Roman" w:hAnsi="Times New Roman" w:cs="Times New Roman"/>
                <w:b/>
                <w:sz w:val="24"/>
                <w:szCs w:val="24"/>
              </w:rPr>
              <w:t>Pesti Építő Zártkörűen Működő Részvénytársaság</w:t>
            </w:r>
            <w:r w:rsidRPr="008931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321A" w:rsidRPr="00893186" w14:paraId="2CBE1EFA" w14:textId="77777777" w:rsidTr="00896384">
        <w:trPr>
          <w:jc w:val="center"/>
        </w:trPr>
        <w:tc>
          <w:tcPr>
            <w:tcW w:w="3806" w:type="dxa"/>
            <w:vAlign w:val="center"/>
            <w:hideMark/>
          </w:tcPr>
          <w:p w14:paraId="302E1FDD" w14:textId="77777777" w:rsidR="00453F6D" w:rsidRDefault="00453F6D" w:rsidP="00893186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14:paraId="4C349162" w14:textId="0A51CD40" w:rsidR="00AD321A" w:rsidRPr="00893186" w:rsidRDefault="00AD321A" w:rsidP="00893186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893186">
              <w:rPr>
                <w:rFonts w:ascii="Times New Roman" w:eastAsia="Calibri" w:hAnsi="Times New Roman" w:cs="Times New Roman"/>
                <w:color w:val="000000"/>
                <w:sz w:val="24"/>
              </w:rPr>
              <w:t>Budapest, 2022.</w:t>
            </w:r>
            <w:r w:rsidR="001B627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B83DD7">
              <w:rPr>
                <w:rFonts w:ascii="Times New Roman" w:eastAsia="Calibri" w:hAnsi="Times New Roman" w:cs="Times New Roman"/>
                <w:color w:val="000000"/>
                <w:sz w:val="24"/>
              </w:rPr>
              <w:t>szeptember</w:t>
            </w:r>
            <w:r w:rsidRPr="008931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hó … </w:t>
            </w:r>
          </w:p>
        </w:tc>
        <w:tc>
          <w:tcPr>
            <w:tcW w:w="1255" w:type="dxa"/>
            <w:vAlign w:val="center"/>
          </w:tcPr>
          <w:p w14:paraId="17BA3D09" w14:textId="77777777" w:rsidR="00AD321A" w:rsidRPr="00893186" w:rsidRDefault="00AD321A" w:rsidP="00AD321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3819" w:type="dxa"/>
            <w:vAlign w:val="center"/>
            <w:hideMark/>
          </w:tcPr>
          <w:p w14:paraId="5EC45357" w14:textId="24B4DC51" w:rsidR="00AD321A" w:rsidRPr="00893186" w:rsidRDefault="001B627A" w:rsidP="00F67F13">
            <w:pPr>
              <w:tabs>
                <w:tab w:val="center" w:pos="4536"/>
                <w:tab w:val="right" w:pos="9072"/>
              </w:tabs>
              <w:spacing w:before="360"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Budapest</w:t>
            </w:r>
            <w:r w:rsidR="00AD321A" w:rsidRPr="008931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2022. </w:t>
            </w:r>
            <w:r w:rsidR="00B83DD7">
              <w:rPr>
                <w:rFonts w:ascii="Times New Roman" w:eastAsia="Calibri" w:hAnsi="Times New Roman" w:cs="Times New Roman"/>
                <w:color w:val="000000"/>
                <w:sz w:val="24"/>
              </w:rPr>
              <w:t>szeptember</w:t>
            </w:r>
            <w:r w:rsidR="00AD321A" w:rsidRPr="008931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hó …</w:t>
            </w:r>
          </w:p>
        </w:tc>
      </w:tr>
    </w:tbl>
    <w:p w14:paraId="18D86237" w14:textId="566439C3" w:rsidR="00CF1F27" w:rsidRDefault="00CF1F27" w:rsidP="00CF1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08E1C1" w14:textId="77777777" w:rsidR="00F250B8" w:rsidRDefault="00F250B8" w:rsidP="00CF1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801890" w14:textId="77777777" w:rsidR="00F250B8" w:rsidRDefault="00F250B8" w:rsidP="00CF1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407E2" w14:textId="0D661F2F" w:rsidR="00F67F13" w:rsidRPr="00F67F13" w:rsidRDefault="00B83DD7" w:rsidP="00F67F13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3DD7">
        <w:rPr>
          <w:rFonts w:ascii="Times New Roman" w:hAnsi="Times New Roman" w:cs="Times New Roman"/>
          <w:sz w:val="24"/>
          <w:szCs w:val="24"/>
        </w:rPr>
        <w:t>Pénzügyi ellenjegyzés:</w:t>
      </w:r>
    </w:p>
    <w:p w14:paraId="2447EC72" w14:textId="77777777" w:rsidR="00F67F13" w:rsidRPr="00F67F13" w:rsidRDefault="00F67F13" w:rsidP="00F67F1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6"/>
        <w:gridCol w:w="1255"/>
      </w:tblGrid>
      <w:tr w:rsidR="00B83DD7" w:rsidRPr="00B83DD7" w14:paraId="373FED5A" w14:textId="77777777" w:rsidTr="00585CEF">
        <w:tc>
          <w:tcPr>
            <w:tcW w:w="3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51A5C" w14:textId="77777777" w:rsidR="00B83DD7" w:rsidRPr="00B83DD7" w:rsidRDefault="00B83DD7" w:rsidP="00F67F13">
            <w:pPr>
              <w:tabs>
                <w:tab w:val="center" w:pos="4536"/>
                <w:tab w:val="right" w:pos="9072"/>
              </w:tabs>
              <w:spacing w:before="120" w:after="12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B83D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Budapest Főváros XIV. Kerület Zugló Önkormányzata</w:t>
            </w:r>
          </w:p>
          <w:p w14:paraId="26310FDE" w14:textId="6C7C19A4" w:rsidR="00B83DD7" w:rsidRPr="00B83DD7" w:rsidRDefault="00B83DD7" w:rsidP="00B83DD7">
            <w:pPr>
              <w:tabs>
                <w:tab w:val="center" w:pos="4536"/>
                <w:tab w:val="right" w:pos="9072"/>
              </w:tabs>
              <w:spacing w:before="120" w:after="12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33A8653" w14:textId="77777777" w:rsidR="00B83DD7" w:rsidRPr="00B83DD7" w:rsidRDefault="00B83DD7" w:rsidP="00B83DD7">
            <w:pPr>
              <w:tabs>
                <w:tab w:val="center" w:pos="4536"/>
                <w:tab w:val="right" w:pos="9072"/>
              </w:tabs>
              <w:spacing w:before="120" w:after="12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</w:tc>
      </w:tr>
    </w:tbl>
    <w:p w14:paraId="4A581D69" w14:textId="2DB4E79E" w:rsidR="00F250B8" w:rsidRPr="00F250B8" w:rsidRDefault="00F67F13" w:rsidP="00F250B8">
      <w:pPr>
        <w:rPr>
          <w:rFonts w:ascii="Times New Roman" w:hAnsi="Times New Roman" w:cs="Times New Roman"/>
          <w:sz w:val="24"/>
          <w:szCs w:val="24"/>
        </w:rPr>
      </w:pPr>
      <w:r w:rsidRPr="00893186">
        <w:rPr>
          <w:rFonts w:ascii="Times New Roman" w:eastAsia="Calibri" w:hAnsi="Times New Roman" w:cs="Times New Roman"/>
          <w:color w:val="000000"/>
          <w:sz w:val="24"/>
        </w:rPr>
        <w:t>Budapest, 2022.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szeptember</w:t>
      </w:r>
      <w:r w:rsidRPr="00893186">
        <w:rPr>
          <w:rFonts w:ascii="Times New Roman" w:eastAsia="Calibri" w:hAnsi="Times New Roman" w:cs="Times New Roman"/>
          <w:color w:val="000000"/>
          <w:sz w:val="24"/>
        </w:rPr>
        <w:t xml:space="preserve"> hó … napján</w:t>
      </w:r>
    </w:p>
    <w:sectPr w:rsidR="00F250B8" w:rsidRPr="00F250B8" w:rsidSect="006B43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829ED" w16cex:dateUtc="2022-09-23T10:49:00Z"/>
  <w16cex:commentExtensible w16cex:durableId="26D8214A" w16cex:dateUtc="2022-09-23T10:12:00Z"/>
  <w16cex:commentExtensible w16cex:durableId="26D8299B" w16cex:dateUtc="2022-09-23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74E985" w16cid:durableId="26D829ED"/>
  <w16cid:commentId w16cid:paraId="53852770" w16cid:durableId="26D8214A"/>
  <w16cid:commentId w16cid:paraId="5B05A577" w16cid:durableId="26D829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8442" w14:textId="77777777" w:rsidR="00D6287E" w:rsidRDefault="00D6287E">
      <w:pPr>
        <w:spacing w:after="0" w:line="240" w:lineRule="auto"/>
      </w:pPr>
      <w:r>
        <w:separator/>
      </w:r>
    </w:p>
  </w:endnote>
  <w:endnote w:type="continuationSeparator" w:id="0">
    <w:p w14:paraId="67B62A13" w14:textId="77777777" w:rsidR="00D6287E" w:rsidRDefault="00D6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658686"/>
      <w:docPartObj>
        <w:docPartGallery w:val="Page Numbers (Bottom of Page)"/>
        <w:docPartUnique/>
      </w:docPartObj>
    </w:sdtPr>
    <w:sdtEndPr/>
    <w:sdtContent>
      <w:p w14:paraId="55148D4D" w14:textId="77777777" w:rsidR="008B537D" w:rsidRDefault="00D32E5C" w:rsidP="006B43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0CC">
          <w:rPr>
            <w:noProof/>
          </w:rPr>
          <w:t>6</w:t>
        </w:r>
        <w:r>
          <w:fldChar w:fldCharType="end"/>
        </w:r>
      </w:p>
    </w:sdtContent>
  </w:sdt>
  <w:p w14:paraId="107D9C84" w14:textId="77777777" w:rsidR="008B537D" w:rsidRDefault="00F760C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057693"/>
      <w:docPartObj>
        <w:docPartGallery w:val="Page Numbers (Bottom of Page)"/>
        <w:docPartUnique/>
      </w:docPartObj>
    </w:sdtPr>
    <w:sdtEndPr/>
    <w:sdtContent>
      <w:p w14:paraId="5A428852" w14:textId="254DF7F2" w:rsidR="006B43A4" w:rsidRDefault="006B43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C68210" w14:textId="77777777" w:rsidR="006B43A4" w:rsidRDefault="006B43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54A96" w14:textId="77777777" w:rsidR="00D6287E" w:rsidRDefault="00D6287E">
      <w:pPr>
        <w:spacing w:after="0" w:line="240" w:lineRule="auto"/>
      </w:pPr>
      <w:r>
        <w:separator/>
      </w:r>
    </w:p>
  </w:footnote>
  <w:footnote w:type="continuationSeparator" w:id="0">
    <w:p w14:paraId="7A9F1EFC" w14:textId="77777777" w:rsidR="00D6287E" w:rsidRDefault="00D6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CAAD5" w14:textId="476BF850" w:rsidR="00DE7D7D" w:rsidRPr="00DE7D7D" w:rsidRDefault="00DE7D7D" w:rsidP="00DE7D7D">
    <w:pPr>
      <w:spacing w:after="0" w:line="240" w:lineRule="auto"/>
      <w:jc w:val="both"/>
      <w:rPr>
        <w:rFonts w:ascii="Times New Roman" w:hAnsi="Times New Roman" w:cs="Times New Roman"/>
        <w:color w:val="000000"/>
        <w:sz w:val="24"/>
        <w:szCs w:val="24"/>
      </w:rPr>
    </w:pPr>
    <w:r w:rsidRPr="00DE7D7D">
      <w:rPr>
        <w:rFonts w:ascii="Times New Roman" w:hAnsi="Times New Roman" w:cs="Times New Roman"/>
        <w:color w:val="000000"/>
        <w:sz w:val="24"/>
        <w:szCs w:val="24"/>
      </w:rPr>
      <w:t>A pályázat azonosító száma: UIA03-246</w:t>
    </w:r>
    <w:r w:rsidRPr="00DE7D7D">
      <w:rPr>
        <w:rFonts w:ascii="Times New Roman" w:hAnsi="Times New Roman" w:cs="Times New Roman"/>
        <w:color w:val="000000"/>
        <w:sz w:val="24"/>
        <w:szCs w:val="24"/>
      </w:rPr>
      <w:tab/>
    </w:r>
    <w:r w:rsidRPr="00DE7D7D">
      <w:rPr>
        <w:rFonts w:ascii="Times New Roman" w:hAnsi="Times New Roman" w:cs="Times New Roman"/>
        <w:color w:val="000000"/>
        <w:sz w:val="24"/>
        <w:szCs w:val="24"/>
      </w:rPr>
      <w:tab/>
    </w:r>
    <w:r w:rsidRPr="00DE7D7D">
      <w:rPr>
        <w:rFonts w:ascii="Times New Roman" w:hAnsi="Times New Roman" w:cs="Times New Roman"/>
        <w:color w:val="000000"/>
        <w:sz w:val="24"/>
        <w:szCs w:val="24"/>
      </w:rPr>
      <w:tab/>
    </w:r>
    <w:r w:rsidRPr="00DE7D7D">
      <w:rPr>
        <w:rFonts w:ascii="Times New Roman" w:hAnsi="Times New Roman" w:cs="Times New Roman"/>
        <w:color w:val="000000"/>
        <w:sz w:val="24"/>
        <w:szCs w:val="24"/>
      </w:rPr>
      <w:tab/>
      <w:t>Szerződésszám:</w:t>
    </w:r>
  </w:p>
  <w:p w14:paraId="2A428A71" w14:textId="77777777" w:rsidR="00DE7D7D" w:rsidRPr="00DE7D7D" w:rsidRDefault="00DE7D7D" w:rsidP="00DE7D7D">
    <w:pPr>
      <w:spacing w:after="0" w:line="240" w:lineRule="auto"/>
      <w:jc w:val="both"/>
      <w:rPr>
        <w:rFonts w:ascii="Times New Roman" w:hAnsi="Times New Roman" w:cs="Times New Roman"/>
        <w:color w:val="000000"/>
        <w:sz w:val="24"/>
        <w:szCs w:val="24"/>
      </w:rPr>
    </w:pPr>
  </w:p>
  <w:p w14:paraId="55C5DB74" w14:textId="77777777" w:rsidR="00DE7D7D" w:rsidRPr="00DE7D7D" w:rsidRDefault="00DE7D7D" w:rsidP="00DE7D7D">
    <w:pPr>
      <w:spacing w:after="0" w:line="240" w:lineRule="auto"/>
      <w:jc w:val="both"/>
      <w:rPr>
        <w:rFonts w:ascii="Times New Roman" w:hAnsi="Times New Roman" w:cs="Times New Roman"/>
        <w:color w:val="000000"/>
        <w:sz w:val="24"/>
        <w:szCs w:val="24"/>
      </w:rPr>
    </w:pPr>
    <w:r w:rsidRPr="00DE7D7D">
      <w:rPr>
        <w:rFonts w:ascii="Times New Roman" w:hAnsi="Times New Roman" w:cs="Times New Roman"/>
        <w:color w:val="000000"/>
        <w:sz w:val="24"/>
        <w:szCs w:val="24"/>
      </w:rPr>
      <w:t>A projekt címe: E-Co-Housing Urban Innovative Actions Program</w:t>
    </w:r>
  </w:p>
  <w:p w14:paraId="269E1060" w14:textId="770CF6FB" w:rsidR="00DE7D7D" w:rsidRDefault="00DE7D7D">
    <w:pPr>
      <w:pStyle w:val="lfej"/>
    </w:pPr>
  </w:p>
  <w:p w14:paraId="27CB0101" w14:textId="44B920E0" w:rsidR="006B43A4" w:rsidRPr="00D03E2A" w:rsidRDefault="006B43A4" w:rsidP="006B43A4">
    <w:pPr>
      <w:pStyle w:val="lfej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26252" w14:textId="72FD7600" w:rsidR="006B43A4" w:rsidRDefault="006B43A4" w:rsidP="006B43A4">
    <w:pPr>
      <w:pStyle w:val="lfej"/>
      <w:jc w:val="right"/>
    </w:pPr>
    <w:r>
      <w:t>XVI-3-19 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742"/>
    <w:multiLevelType w:val="hybridMultilevel"/>
    <w:tmpl w:val="DA56AD4A"/>
    <w:lvl w:ilvl="0" w:tplc="7CBA9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02E"/>
    <w:multiLevelType w:val="hybridMultilevel"/>
    <w:tmpl w:val="AF92FC84"/>
    <w:lvl w:ilvl="0" w:tplc="9982B0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2370"/>
    <w:multiLevelType w:val="multilevel"/>
    <w:tmpl w:val="F6EA20AC"/>
    <w:lvl w:ilvl="0">
      <w:start w:val="1"/>
      <w:numFmt w:val="upperRoman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9225AA6"/>
    <w:multiLevelType w:val="hybridMultilevel"/>
    <w:tmpl w:val="1218A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362B3"/>
    <w:multiLevelType w:val="hybridMultilevel"/>
    <w:tmpl w:val="21D8E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13F08"/>
    <w:multiLevelType w:val="multilevel"/>
    <w:tmpl w:val="A838FADA"/>
    <w:lvl w:ilvl="0">
      <w:start w:val="4"/>
      <w:numFmt w:val="decimal"/>
      <w:lvlText w:val="%1."/>
      <w:lvlJc w:val="left"/>
      <w:pPr>
        <w:ind w:left="144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34381724"/>
    <w:multiLevelType w:val="hybridMultilevel"/>
    <w:tmpl w:val="728854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55ABA"/>
    <w:multiLevelType w:val="hybridMultilevel"/>
    <w:tmpl w:val="59684FC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A0EA3"/>
    <w:multiLevelType w:val="hybridMultilevel"/>
    <w:tmpl w:val="7018D940"/>
    <w:lvl w:ilvl="0" w:tplc="0AEC441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E1905"/>
    <w:multiLevelType w:val="hybridMultilevel"/>
    <w:tmpl w:val="8034BAA0"/>
    <w:lvl w:ilvl="0" w:tplc="6220E5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4625D"/>
    <w:multiLevelType w:val="hybridMultilevel"/>
    <w:tmpl w:val="0E8084AE"/>
    <w:lvl w:ilvl="0" w:tplc="9C1C6D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C1E9D"/>
    <w:multiLevelType w:val="hybridMultilevel"/>
    <w:tmpl w:val="AFC6DD46"/>
    <w:lvl w:ilvl="0" w:tplc="3C422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E36C28"/>
    <w:multiLevelType w:val="hybridMultilevel"/>
    <w:tmpl w:val="9A0C6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D0EA1"/>
    <w:multiLevelType w:val="hybridMultilevel"/>
    <w:tmpl w:val="45648334"/>
    <w:lvl w:ilvl="0" w:tplc="5066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D2"/>
    <w:rsid w:val="00014B10"/>
    <w:rsid w:val="00016E74"/>
    <w:rsid w:val="0002511C"/>
    <w:rsid w:val="00035838"/>
    <w:rsid w:val="0006540D"/>
    <w:rsid w:val="000848E9"/>
    <w:rsid w:val="000B6181"/>
    <w:rsid w:val="000D5323"/>
    <w:rsid w:val="000F352B"/>
    <w:rsid w:val="001076FF"/>
    <w:rsid w:val="001169B8"/>
    <w:rsid w:val="00121115"/>
    <w:rsid w:val="00121A64"/>
    <w:rsid w:val="00151A28"/>
    <w:rsid w:val="00166DD5"/>
    <w:rsid w:val="00185180"/>
    <w:rsid w:val="00190BC4"/>
    <w:rsid w:val="00193B42"/>
    <w:rsid w:val="001A0E6B"/>
    <w:rsid w:val="001A6383"/>
    <w:rsid w:val="001B627A"/>
    <w:rsid w:val="001C36AF"/>
    <w:rsid w:val="001E1279"/>
    <w:rsid w:val="001F05BB"/>
    <w:rsid w:val="0023177D"/>
    <w:rsid w:val="002377A9"/>
    <w:rsid w:val="0024324E"/>
    <w:rsid w:val="00246BBA"/>
    <w:rsid w:val="00272B81"/>
    <w:rsid w:val="002813B2"/>
    <w:rsid w:val="002866C1"/>
    <w:rsid w:val="002A154A"/>
    <w:rsid w:val="002A5EE9"/>
    <w:rsid w:val="002B3FB3"/>
    <w:rsid w:val="002B5F95"/>
    <w:rsid w:val="002E3412"/>
    <w:rsid w:val="003247F5"/>
    <w:rsid w:val="00326F4A"/>
    <w:rsid w:val="0034081F"/>
    <w:rsid w:val="003579B0"/>
    <w:rsid w:val="003924E6"/>
    <w:rsid w:val="003A2052"/>
    <w:rsid w:val="003B4DEE"/>
    <w:rsid w:val="003B6142"/>
    <w:rsid w:val="003C6C76"/>
    <w:rsid w:val="003D0048"/>
    <w:rsid w:val="003D505F"/>
    <w:rsid w:val="003D62A9"/>
    <w:rsid w:val="003D63CB"/>
    <w:rsid w:val="003D696D"/>
    <w:rsid w:val="003E446C"/>
    <w:rsid w:val="003F059C"/>
    <w:rsid w:val="0040318D"/>
    <w:rsid w:val="00414460"/>
    <w:rsid w:val="0042604F"/>
    <w:rsid w:val="004319DA"/>
    <w:rsid w:val="00450349"/>
    <w:rsid w:val="00453F6D"/>
    <w:rsid w:val="004646E7"/>
    <w:rsid w:val="004652CE"/>
    <w:rsid w:val="004766CD"/>
    <w:rsid w:val="004866F3"/>
    <w:rsid w:val="00497614"/>
    <w:rsid w:val="004A0B50"/>
    <w:rsid w:val="004A2005"/>
    <w:rsid w:val="004A2F77"/>
    <w:rsid w:val="004A396E"/>
    <w:rsid w:val="004B6C3F"/>
    <w:rsid w:val="004C4E11"/>
    <w:rsid w:val="004C5320"/>
    <w:rsid w:val="004E6903"/>
    <w:rsid w:val="00503AE7"/>
    <w:rsid w:val="005126DE"/>
    <w:rsid w:val="00534122"/>
    <w:rsid w:val="00535B81"/>
    <w:rsid w:val="00546323"/>
    <w:rsid w:val="00552BD7"/>
    <w:rsid w:val="005A495C"/>
    <w:rsid w:val="0061521A"/>
    <w:rsid w:val="00616D52"/>
    <w:rsid w:val="0063087F"/>
    <w:rsid w:val="0063229E"/>
    <w:rsid w:val="00634FDD"/>
    <w:rsid w:val="0063755F"/>
    <w:rsid w:val="00653D5B"/>
    <w:rsid w:val="00685E2A"/>
    <w:rsid w:val="006A318E"/>
    <w:rsid w:val="006B43A4"/>
    <w:rsid w:val="006D11AC"/>
    <w:rsid w:val="006E2E62"/>
    <w:rsid w:val="006E42F5"/>
    <w:rsid w:val="006E5E6E"/>
    <w:rsid w:val="006F3A64"/>
    <w:rsid w:val="007323B7"/>
    <w:rsid w:val="00750ADF"/>
    <w:rsid w:val="00762E26"/>
    <w:rsid w:val="00772FEA"/>
    <w:rsid w:val="00795335"/>
    <w:rsid w:val="007A165F"/>
    <w:rsid w:val="007C2EE9"/>
    <w:rsid w:val="007D3BCA"/>
    <w:rsid w:val="007F5B7A"/>
    <w:rsid w:val="007F5ECA"/>
    <w:rsid w:val="00800253"/>
    <w:rsid w:val="00801713"/>
    <w:rsid w:val="00834FE4"/>
    <w:rsid w:val="00863237"/>
    <w:rsid w:val="00867A56"/>
    <w:rsid w:val="008821E6"/>
    <w:rsid w:val="00890203"/>
    <w:rsid w:val="00893186"/>
    <w:rsid w:val="008B4969"/>
    <w:rsid w:val="008B62D0"/>
    <w:rsid w:val="008D60ED"/>
    <w:rsid w:val="008E0920"/>
    <w:rsid w:val="008F1879"/>
    <w:rsid w:val="008F4270"/>
    <w:rsid w:val="0090368F"/>
    <w:rsid w:val="009166BC"/>
    <w:rsid w:val="009302B9"/>
    <w:rsid w:val="0093766D"/>
    <w:rsid w:val="009404F4"/>
    <w:rsid w:val="00946958"/>
    <w:rsid w:val="00955F82"/>
    <w:rsid w:val="00960D6E"/>
    <w:rsid w:val="0096416E"/>
    <w:rsid w:val="0097029A"/>
    <w:rsid w:val="009744E5"/>
    <w:rsid w:val="00983015"/>
    <w:rsid w:val="009912F1"/>
    <w:rsid w:val="00996B63"/>
    <w:rsid w:val="009D58E0"/>
    <w:rsid w:val="009D7DA3"/>
    <w:rsid w:val="009F2526"/>
    <w:rsid w:val="009F3249"/>
    <w:rsid w:val="009F54C5"/>
    <w:rsid w:val="00A02ADD"/>
    <w:rsid w:val="00A11DE3"/>
    <w:rsid w:val="00A15954"/>
    <w:rsid w:val="00A303B1"/>
    <w:rsid w:val="00A52BFB"/>
    <w:rsid w:val="00A669FD"/>
    <w:rsid w:val="00A97EA6"/>
    <w:rsid w:val="00AC4316"/>
    <w:rsid w:val="00AD321A"/>
    <w:rsid w:val="00AE2880"/>
    <w:rsid w:val="00B07723"/>
    <w:rsid w:val="00B10B77"/>
    <w:rsid w:val="00B32213"/>
    <w:rsid w:val="00B403B1"/>
    <w:rsid w:val="00B414A5"/>
    <w:rsid w:val="00B5347C"/>
    <w:rsid w:val="00B83DD7"/>
    <w:rsid w:val="00BB5942"/>
    <w:rsid w:val="00BC4C41"/>
    <w:rsid w:val="00BD2DD2"/>
    <w:rsid w:val="00BD6B7C"/>
    <w:rsid w:val="00BE34D1"/>
    <w:rsid w:val="00C07094"/>
    <w:rsid w:val="00C1101A"/>
    <w:rsid w:val="00C2682E"/>
    <w:rsid w:val="00C30CA8"/>
    <w:rsid w:val="00C34BDB"/>
    <w:rsid w:val="00C37F49"/>
    <w:rsid w:val="00C426FB"/>
    <w:rsid w:val="00C45BDA"/>
    <w:rsid w:val="00C9028B"/>
    <w:rsid w:val="00C91D37"/>
    <w:rsid w:val="00C96B5C"/>
    <w:rsid w:val="00CA377D"/>
    <w:rsid w:val="00CA4723"/>
    <w:rsid w:val="00CA5FFA"/>
    <w:rsid w:val="00CB1AD1"/>
    <w:rsid w:val="00CC0AA7"/>
    <w:rsid w:val="00CC1516"/>
    <w:rsid w:val="00CE148E"/>
    <w:rsid w:val="00CF1F27"/>
    <w:rsid w:val="00CF295B"/>
    <w:rsid w:val="00CF3485"/>
    <w:rsid w:val="00D03E2A"/>
    <w:rsid w:val="00D058AE"/>
    <w:rsid w:val="00D07634"/>
    <w:rsid w:val="00D261CE"/>
    <w:rsid w:val="00D32E5C"/>
    <w:rsid w:val="00D33A57"/>
    <w:rsid w:val="00D41FB2"/>
    <w:rsid w:val="00D451F3"/>
    <w:rsid w:val="00D557DC"/>
    <w:rsid w:val="00D6287E"/>
    <w:rsid w:val="00D667F0"/>
    <w:rsid w:val="00D735A3"/>
    <w:rsid w:val="00D92C62"/>
    <w:rsid w:val="00DA0E9B"/>
    <w:rsid w:val="00DB119E"/>
    <w:rsid w:val="00DD226B"/>
    <w:rsid w:val="00DE7D7D"/>
    <w:rsid w:val="00DF6829"/>
    <w:rsid w:val="00DF7087"/>
    <w:rsid w:val="00E02B94"/>
    <w:rsid w:val="00E05955"/>
    <w:rsid w:val="00E155E9"/>
    <w:rsid w:val="00E21835"/>
    <w:rsid w:val="00E26CF8"/>
    <w:rsid w:val="00E27C92"/>
    <w:rsid w:val="00E27E6A"/>
    <w:rsid w:val="00E37E1E"/>
    <w:rsid w:val="00E40632"/>
    <w:rsid w:val="00E54E2A"/>
    <w:rsid w:val="00E75B4F"/>
    <w:rsid w:val="00E7780F"/>
    <w:rsid w:val="00EB0811"/>
    <w:rsid w:val="00EC695D"/>
    <w:rsid w:val="00EE7D88"/>
    <w:rsid w:val="00F01EFF"/>
    <w:rsid w:val="00F214DA"/>
    <w:rsid w:val="00F24126"/>
    <w:rsid w:val="00F250B8"/>
    <w:rsid w:val="00F3655E"/>
    <w:rsid w:val="00F67F13"/>
    <w:rsid w:val="00F75A49"/>
    <w:rsid w:val="00F760CC"/>
    <w:rsid w:val="00F94DAE"/>
    <w:rsid w:val="00FC3118"/>
    <w:rsid w:val="00FD28AD"/>
    <w:rsid w:val="00FE0603"/>
    <w:rsid w:val="00FE0974"/>
    <w:rsid w:val="00FE627C"/>
    <w:rsid w:val="00FF1EFD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9491"/>
  <w15:docId w15:val="{B4C4B204-A152-4B99-947E-7E16C355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2DD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D2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BD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2DD2"/>
  </w:style>
  <w:style w:type="paragraph" w:styleId="Listaszerbekezds">
    <w:name w:val="List Paragraph"/>
    <w:basedOn w:val="Norml"/>
    <w:uiPriority w:val="34"/>
    <w:qFormat/>
    <w:rsid w:val="00BD2DD2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BD2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BD2DD2"/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B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43A4"/>
  </w:style>
  <w:style w:type="character" w:styleId="Hiperhivatkozs">
    <w:name w:val="Hyperlink"/>
    <w:basedOn w:val="Bekezdsalapbettpusa"/>
    <w:uiPriority w:val="99"/>
    <w:semiHidden/>
    <w:unhideWhenUsed/>
    <w:rsid w:val="00EC695D"/>
    <w:rPr>
      <w:color w:val="0000FF"/>
      <w:u w:val="single"/>
    </w:rPr>
  </w:style>
  <w:style w:type="paragraph" w:styleId="Nincstrkz">
    <w:name w:val="No Spacing"/>
    <w:uiPriority w:val="1"/>
    <w:qFormat/>
    <w:rsid w:val="0098301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B61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61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614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61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614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1523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Dóra</dc:creator>
  <cp:keywords/>
  <dc:description/>
  <cp:lastModifiedBy>Szuchy Zsuzsanna</cp:lastModifiedBy>
  <cp:revision>3</cp:revision>
  <cp:lastPrinted>2022-04-05T07:02:00Z</cp:lastPrinted>
  <dcterms:created xsi:type="dcterms:W3CDTF">2022-09-23T11:13:00Z</dcterms:created>
  <dcterms:modified xsi:type="dcterms:W3CDTF">2022-09-23T11:14:00Z</dcterms:modified>
</cp:coreProperties>
</file>