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D1" w:rsidRPr="003E0153" w:rsidRDefault="00D353D1" w:rsidP="00CA0FA0">
      <w:pPr>
        <w:spacing w:after="0"/>
        <w:rPr>
          <w:sz w:val="24"/>
          <w:szCs w:val="24"/>
        </w:rPr>
      </w:pPr>
    </w:p>
    <w:p w:rsidR="00D353D1" w:rsidRPr="00977F49" w:rsidRDefault="00C641AC" w:rsidP="00977F49">
      <w:pPr>
        <w:spacing w:after="0"/>
        <w:jc w:val="center"/>
        <w:rPr>
          <w:b/>
          <w:sz w:val="28"/>
          <w:szCs w:val="28"/>
        </w:rPr>
      </w:pPr>
      <w:r w:rsidRPr="0058535D">
        <w:rPr>
          <w:b/>
          <w:sz w:val="28"/>
          <w:szCs w:val="28"/>
        </w:rPr>
        <w:t>20</w:t>
      </w:r>
      <w:r w:rsidR="00A112A6">
        <w:rPr>
          <w:b/>
          <w:sz w:val="28"/>
          <w:szCs w:val="28"/>
        </w:rPr>
        <w:t>20</w:t>
      </w:r>
      <w:r w:rsidR="00CD7210" w:rsidRPr="0058535D">
        <w:rPr>
          <w:b/>
          <w:sz w:val="28"/>
          <w:szCs w:val="28"/>
        </w:rPr>
        <w:t>. évi költségvetés</w:t>
      </w:r>
      <w:r w:rsidR="0058535D">
        <w:rPr>
          <w:b/>
          <w:sz w:val="28"/>
          <w:szCs w:val="28"/>
        </w:rPr>
        <w:t xml:space="preserve"> szöveges</w:t>
      </w:r>
      <w:r w:rsidR="00CD7210" w:rsidRPr="0058535D">
        <w:rPr>
          <w:b/>
          <w:sz w:val="28"/>
          <w:szCs w:val="28"/>
        </w:rPr>
        <w:t xml:space="preserve"> indoklás</w:t>
      </w:r>
      <w:r w:rsidR="0058535D">
        <w:rPr>
          <w:b/>
          <w:sz w:val="28"/>
          <w:szCs w:val="28"/>
        </w:rPr>
        <w:t>a</w:t>
      </w:r>
    </w:p>
    <w:p w:rsidR="008A161B" w:rsidRPr="003E0153" w:rsidRDefault="008A161B" w:rsidP="00CA0FA0">
      <w:pPr>
        <w:spacing w:after="0"/>
        <w:jc w:val="both"/>
        <w:rPr>
          <w:sz w:val="24"/>
          <w:szCs w:val="24"/>
        </w:rPr>
      </w:pPr>
    </w:p>
    <w:p w:rsidR="008A161B" w:rsidRPr="003E0153" w:rsidRDefault="00646ED8" w:rsidP="00CA0FA0">
      <w:pPr>
        <w:spacing w:after="0"/>
        <w:jc w:val="center"/>
        <w:rPr>
          <w:sz w:val="24"/>
          <w:szCs w:val="24"/>
        </w:rPr>
      </w:pPr>
      <w:r w:rsidRPr="003E0153">
        <w:rPr>
          <w:sz w:val="24"/>
          <w:szCs w:val="24"/>
        </w:rPr>
        <w:t>A.)</w:t>
      </w:r>
    </w:p>
    <w:p w:rsidR="008A161B" w:rsidRPr="0058535D" w:rsidRDefault="00646ED8" w:rsidP="00CA0FA0">
      <w:pPr>
        <w:spacing w:after="0"/>
        <w:jc w:val="center"/>
        <w:rPr>
          <w:b/>
          <w:i/>
          <w:sz w:val="24"/>
          <w:szCs w:val="24"/>
        </w:rPr>
      </w:pPr>
      <w:r w:rsidRPr="0058535D">
        <w:rPr>
          <w:b/>
          <w:i/>
          <w:sz w:val="24"/>
          <w:szCs w:val="24"/>
        </w:rPr>
        <w:t>Általános adatok</w:t>
      </w:r>
    </w:p>
    <w:p w:rsidR="00351DC7" w:rsidRPr="003E0153" w:rsidRDefault="00351DC7" w:rsidP="00CA0FA0">
      <w:pPr>
        <w:spacing w:after="0"/>
        <w:jc w:val="both"/>
        <w:rPr>
          <w:b/>
          <w:i/>
          <w:sz w:val="24"/>
          <w:szCs w:val="24"/>
        </w:rPr>
      </w:pPr>
    </w:p>
    <w:p w:rsidR="00D353D1" w:rsidRPr="003E0153" w:rsidRDefault="00F95718" w:rsidP="00CA0FA0">
      <w:pPr>
        <w:pStyle w:val="Listaszerbekezds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3E0153">
        <w:rPr>
          <w:i/>
          <w:sz w:val="24"/>
          <w:szCs w:val="24"/>
        </w:rPr>
        <w:t>A Zugl</w:t>
      </w:r>
      <w:r w:rsidR="008A161B" w:rsidRPr="003E0153">
        <w:rPr>
          <w:i/>
          <w:sz w:val="24"/>
          <w:szCs w:val="24"/>
        </w:rPr>
        <w:t>ói Család- és Gyermekjóléti</w:t>
      </w:r>
      <w:r w:rsidRPr="003E0153">
        <w:rPr>
          <w:i/>
          <w:sz w:val="24"/>
          <w:szCs w:val="24"/>
        </w:rPr>
        <w:t xml:space="preserve"> Központ jelenleg engedélyezett létszáma: </w:t>
      </w:r>
      <w:r w:rsidR="009464B6">
        <w:rPr>
          <w:i/>
          <w:sz w:val="24"/>
          <w:szCs w:val="24"/>
        </w:rPr>
        <w:t>79</w:t>
      </w:r>
      <w:r w:rsidRPr="003E0153">
        <w:rPr>
          <w:i/>
          <w:sz w:val="24"/>
          <w:szCs w:val="24"/>
        </w:rPr>
        <w:t xml:space="preserve"> </w:t>
      </w:r>
      <w:r w:rsidR="009C03BE" w:rsidRPr="003E0153">
        <w:rPr>
          <w:i/>
          <w:sz w:val="24"/>
          <w:szCs w:val="24"/>
        </w:rPr>
        <w:t>fő. (</w:t>
      </w:r>
      <w:r w:rsidR="00DE4D6A">
        <w:rPr>
          <w:i/>
          <w:sz w:val="24"/>
          <w:szCs w:val="24"/>
        </w:rPr>
        <w:t>A</w:t>
      </w:r>
      <w:r w:rsidR="00496841" w:rsidRPr="003E0153">
        <w:rPr>
          <w:i/>
          <w:sz w:val="24"/>
          <w:szCs w:val="24"/>
        </w:rPr>
        <w:t xml:space="preserve"> </w:t>
      </w:r>
      <w:r w:rsidR="00915461">
        <w:rPr>
          <w:i/>
          <w:sz w:val="24"/>
          <w:szCs w:val="24"/>
        </w:rPr>
        <w:t>kötelező feladatok miatt</w:t>
      </w:r>
      <w:r w:rsidR="00183430">
        <w:rPr>
          <w:i/>
          <w:sz w:val="24"/>
          <w:szCs w:val="24"/>
        </w:rPr>
        <w:t xml:space="preserve"> </w:t>
      </w:r>
      <w:r w:rsidR="00820BF4">
        <w:rPr>
          <w:i/>
          <w:sz w:val="24"/>
          <w:szCs w:val="24"/>
        </w:rPr>
        <w:t>9</w:t>
      </w:r>
      <w:r w:rsidR="00183430">
        <w:rPr>
          <w:i/>
          <w:sz w:val="24"/>
          <w:szCs w:val="24"/>
        </w:rPr>
        <w:t xml:space="preserve"> fő</w:t>
      </w:r>
      <w:r w:rsidR="00915461">
        <w:rPr>
          <w:i/>
          <w:sz w:val="24"/>
          <w:szCs w:val="24"/>
        </w:rPr>
        <w:t xml:space="preserve"> </w:t>
      </w:r>
      <w:r w:rsidR="00496841" w:rsidRPr="003E0153">
        <w:rPr>
          <w:i/>
          <w:sz w:val="24"/>
          <w:szCs w:val="24"/>
        </w:rPr>
        <w:t>létszámnöv</w:t>
      </w:r>
      <w:r w:rsidR="00915461">
        <w:rPr>
          <w:i/>
          <w:sz w:val="24"/>
          <w:szCs w:val="24"/>
        </w:rPr>
        <w:t>ekedés várható</w:t>
      </w:r>
      <w:r w:rsidRPr="003E0153">
        <w:rPr>
          <w:i/>
          <w:sz w:val="24"/>
          <w:szCs w:val="24"/>
        </w:rPr>
        <w:t>)</w:t>
      </w:r>
    </w:p>
    <w:p w:rsidR="00F95718" w:rsidRPr="003E0153" w:rsidRDefault="00F95718" w:rsidP="00CA0FA0">
      <w:pPr>
        <w:pStyle w:val="Listaszerbekezds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3E0153">
        <w:rPr>
          <w:i/>
          <w:sz w:val="24"/>
          <w:szCs w:val="24"/>
        </w:rPr>
        <w:t>A minimálbéren dolgozók létszáma:</w:t>
      </w:r>
      <w:r w:rsidR="00F417D5" w:rsidRPr="003E0153">
        <w:rPr>
          <w:i/>
          <w:sz w:val="24"/>
          <w:szCs w:val="24"/>
        </w:rPr>
        <w:t xml:space="preserve"> </w:t>
      </w:r>
      <w:r w:rsidR="00D10F73">
        <w:rPr>
          <w:i/>
          <w:sz w:val="24"/>
          <w:szCs w:val="24"/>
        </w:rPr>
        <w:t>70 fő</w:t>
      </w:r>
    </w:p>
    <w:p w:rsidR="00F95718" w:rsidRPr="003E0153" w:rsidRDefault="00C641AC" w:rsidP="00CA0FA0">
      <w:pPr>
        <w:pStyle w:val="Listaszerbekezds"/>
        <w:numPr>
          <w:ilvl w:val="0"/>
          <w:numId w:val="7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Az ellátottak száma:</w:t>
      </w:r>
      <w:r w:rsidR="00183430">
        <w:rPr>
          <w:i/>
          <w:sz w:val="24"/>
          <w:szCs w:val="24"/>
        </w:rPr>
        <w:t xml:space="preserve"> </w:t>
      </w:r>
      <w:r w:rsidR="001D7D7C">
        <w:rPr>
          <w:i/>
          <w:sz w:val="24"/>
          <w:szCs w:val="24"/>
        </w:rPr>
        <w:t>5649</w:t>
      </w:r>
      <w:r w:rsidR="007778C0">
        <w:rPr>
          <w:i/>
          <w:sz w:val="24"/>
          <w:szCs w:val="24"/>
        </w:rPr>
        <w:t xml:space="preserve"> </w:t>
      </w:r>
      <w:r w:rsidR="00CE0FCD">
        <w:rPr>
          <w:i/>
          <w:sz w:val="24"/>
          <w:szCs w:val="24"/>
        </w:rPr>
        <w:t>fő</w:t>
      </w:r>
      <w:r>
        <w:rPr>
          <w:i/>
          <w:sz w:val="24"/>
          <w:szCs w:val="24"/>
        </w:rPr>
        <w:t xml:space="preserve"> (201</w:t>
      </w:r>
      <w:r w:rsidR="00812BC4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.</w:t>
      </w:r>
      <w:r w:rsidR="00820BF4">
        <w:rPr>
          <w:i/>
          <w:sz w:val="24"/>
          <w:szCs w:val="24"/>
        </w:rPr>
        <w:t xml:space="preserve"> 12.11.</w:t>
      </w:r>
      <w:r w:rsidR="00CA0FA0">
        <w:rPr>
          <w:i/>
          <w:sz w:val="24"/>
          <w:szCs w:val="24"/>
        </w:rPr>
        <w:t>)</w:t>
      </w:r>
    </w:p>
    <w:p w:rsidR="008A161B" w:rsidRPr="003E0153" w:rsidRDefault="00C641AC" w:rsidP="00CA0FA0">
      <w:pPr>
        <w:pStyle w:val="Listaszerbekezds"/>
        <w:numPr>
          <w:ilvl w:val="0"/>
          <w:numId w:val="7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Ügyfélforgalom:</w:t>
      </w:r>
      <w:r w:rsidR="00B12AE0">
        <w:rPr>
          <w:i/>
          <w:sz w:val="24"/>
          <w:szCs w:val="24"/>
        </w:rPr>
        <w:t xml:space="preserve"> 1</w:t>
      </w:r>
      <w:r w:rsidR="007778C0">
        <w:rPr>
          <w:i/>
          <w:sz w:val="24"/>
          <w:szCs w:val="24"/>
        </w:rPr>
        <w:t>28</w:t>
      </w:r>
      <w:r w:rsidR="001C52CD">
        <w:rPr>
          <w:i/>
          <w:sz w:val="24"/>
          <w:szCs w:val="24"/>
        </w:rPr>
        <w:t>66</w:t>
      </w:r>
      <w:r>
        <w:rPr>
          <w:i/>
          <w:sz w:val="24"/>
          <w:szCs w:val="24"/>
        </w:rPr>
        <w:t xml:space="preserve"> (201</w:t>
      </w:r>
      <w:r w:rsidR="00812BC4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.</w:t>
      </w:r>
      <w:r w:rsidR="00DE4D6A">
        <w:rPr>
          <w:i/>
          <w:sz w:val="24"/>
          <w:szCs w:val="24"/>
        </w:rPr>
        <w:t xml:space="preserve"> </w:t>
      </w:r>
      <w:r w:rsidR="00812BC4">
        <w:rPr>
          <w:i/>
          <w:sz w:val="24"/>
          <w:szCs w:val="24"/>
        </w:rPr>
        <w:t>12</w:t>
      </w:r>
      <w:r w:rsidR="00DE4D6A">
        <w:rPr>
          <w:i/>
          <w:sz w:val="24"/>
          <w:szCs w:val="24"/>
        </w:rPr>
        <w:t>.</w:t>
      </w:r>
      <w:r w:rsidR="00812BC4">
        <w:rPr>
          <w:i/>
          <w:sz w:val="24"/>
          <w:szCs w:val="24"/>
        </w:rPr>
        <w:t>11</w:t>
      </w:r>
      <w:r w:rsidR="00DE4D6A">
        <w:rPr>
          <w:i/>
          <w:sz w:val="24"/>
          <w:szCs w:val="24"/>
        </w:rPr>
        <w:t>.</w:t>
      </w:r>
      <w:r w:rsidR="00CA0FA0">
        <w:rPr>
          <w:i/>
          <w:sz w:val="24"/>
          <w:szCs w:val="24"/>
        </w:rPr>
        <w:t>)</w:t>
      </w:r>
    </w:p>
    <w:p w:rsidR="00F95718" w:rsidRPr="003E0153" w:rsidRDefault="00C641AC" w:rsidP="00CA0FA0">
      <w:pPr>
        <w:pStyle w:val="Listaszerbekezds"/>
        <w:numPr>
          <w:ilvl w:val="0"/>
          <w:numId w:val="7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Várható jubileumi kifizetés:</w:t>
      </w:r>
      <w:r w:rsidR="00257BBC" w:rsidRPr="003E0153">
        <w:rPr>
          <w:i/>
          <w:sz w:val="24"/>
          <w:szCs w:val="24"/>
        </w:rPr>
        <w:t xml:space="preserve"> </w:t>
      </w:r>
      <w:r w:rsidR="00204B41">
        <w:rPr>
          <w:i/>
          <w:sz w:val="24"/>
          <w:szCs w:val="24"/>
        </w:rPr>
        <w:t>4 fő</w:t>
      </w:r>
    </w:p>
    <w:p w:rsidR="00F417D5" w:rsidRPr="003E0153" w:rsidRDefault="00F417D5" w:rsidP="00CA0FA0">
      <w:pPr>
        <w:pStyle w:val="Listaszerbekezds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3E0153">
        <w:rPr>
          <w:i/>
          <w:sz w:val="24"/>
          <w:szCs w:val="24"/>
        </w:rPr>
        <w:t>Nyugdí</w:t>
      </w:r>
      <w:r w:rsidR="00820BF4">
        <w:rPr>
          <w:i/>
          <w:sz w:val="24"/>
          <w:szCs w:val="24"/>
        </w:rPr>
        <w:t xml:space="preserve">jba vonulás miatti felmentés: </w:t>
      </w:r>
      <w:r w:rsidR="002326F1">
        <w:rPr>
          <w:i/>
          <w:sz w:val="24"/>
          <w:szCs w:val="24"/>
        </w:rPr>
        <w:t>2 fő</w:t>
      </w:r>
    </w:p>
    <w:p w:rsidR="00F417D5" w:rsidRPr="003E0153" w:rsidRDefault="00F417D5" w:rsidP="00CA0FA0">
      <w:pPr>
        <w:pStyle w:val="Listaszerbekezds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3E0153">
        <w:rPr>
          <w:i/>
          <w:sz w:val="24"/>
          <w:szCs w:val="24"/>
        </w:rPr>
        <w:t>Várható szabadságmegváltás</w:t>
      </w:r>
      <w:r w:rsidR="00204B41">
        <w:rPr>
          <w:i/>
          <w:sz w:val="24"/>
          <w:szCs w:val="24"/>
        </w:rPr>
        <w:t>: 6 fő</w:t>
      </w:r>
    </w:p>
    <w:p w:rsidR="001122DB" w:rsidRPr="00977F49" w:rsidRDefault="00257BBC" w:rsidP="001122DB">
      <w:pPr>
        <w:pStyle w:val="Listaszerbekezds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3E0153">
        <w:rPr>
          <w:i/>
          <w:sz w:val="24"/>
          <w:szCs w:val="24"/>
        </w:rPr>
        <w:t>Peres ügyek: 0</w:t>
      </w:r>
    </w:p>
    <w:p w:rsidR="00EF5A0C" w:rsidRDefault="00EF5A0C" w:rsidP="00CA0FA0">
      <w:pPr>
        <w:pStyle w:val="Listaszerbekezds"/>
        <w:jc w:val="center"/>
        <w:rPr>
          <w:sz w:val="24"/>
          <w:szCs w:val="24"/>
        </w:rPr>
      </w:pPr>
    </w:p>
    <w:p w:rsidR="007A2953" w:rsidRDefault="007A2953" w:rsidP="00CA0FA0">
      <w:pPr>
        <w:pStyle w:val="Listaszerbekezds"/>
        <w:jc w:val="center"/>
        <w:rPr>
          <w:sz w:val="24"/>
          <w:szCs w:val="24"/>
        </w:rPr>
      </w:pPr>
    </w:p>
    <w:p w:rsidR="007A2953" w:rsidRDefault="007A2953" w:rsidP="00CA0FA0">
      <w:pPr>
        <w:pStyle w:val="Listaszerbekezds"/>
        <w:jc w:val="center"/>
        <w:rPr>
          <w:sz w:val="24"/>
          <w:szCs w:val="24"/>
        </w:rPr>
      </w:pPr>
    </w:p>
    <w:p w:rsidR="007A2953" w:rsidRDefault="007A2953" w:rsidP="00CA0FA0">
      <w:pPr>
        <w:pStyle w:val="Listaszerbekezds"/>
        <w:jc w:val="center"/>
        <w:rPr>
          <w:sz w:val="24"/>
          <w:szCs w:val="24"/>
        </w:rPr>
      </w:pPr>
    </w:p>
    <w:p w:rsidR="007A2953" w:rsidRDefault="007A2953" w:rsidP="00CA0FA0">
      <w:pPr>
        <w:pStyle w:val="Listaszerbekezds"/>
        <w:jc w:val="center"/>
        <w:rPr>
          <w:sz w:val="24"/>
          <w:szCs w:val="24"/>
        </w:rPr>
      </w:pPr>
    </w:p>
    <w:p w:rsidR="007A2953" w:rsidRDefault="007A2953" w:rsidP="00CA0FA0">
      <w:pPr>
        <w:pStyle w:val="Listaszerbekezds"/>
        <w:jc w:val="center"/>
        <w:rPr>
          <w:sz w:val="24"/>
          <w:szCs w:val="24"/>
        </w:rPr>
      </w:pPr>
    </w:p>
    <w:p w:rsidR="007A2953" w:rsidRDefault="007A2953" w:rsidP="00CA0FA0">
      <w:pPr>
        <w:pStyle w:val="Listaszerbekezds"/>
        <w:jc w:val="center"/>
        <w:rPr>
          <w:sz w:val="24"/>
          <w:szCs w:val="24"/>
        </w:rPr>
      </w:pPr>
    </w:p>
    <w:p w:rsidR="007A2953" w:rsidRDefault="007A2953" w:rsidP="00CA0FA0">
      <w:pPr>
        <w:pStyle w:val="Listaszerbekezds"/>
        <w:jc w:val="center"/>
        <w:rPr>
          <w:sz w:val="24"/>
          <w:szCs w:val="24"/>
        </w:rPr>
      </w:pPr>
    </w:p>
    <w:p w:rsidR="007A2953" w:rsidRDefault="007A2953" w:rsidP="00CA0FA0">
      <w:pPr>
        <w:pStyle w:val="Listaszerbekezds"/>
        <w:jc w:val="center"/>
        <w:rPr>
          <w:sz w:val="24"/>
          <w:szCs w:val="24"/>
        </w:rPr>
      </w:pPr>
    </w:p>
    <w:p w:rsidR="00126209" w:rsidRPr="003E0153" w:rsidRDefault="00126209" w:rsidP="00CA0FA0">
      <w:pPr>
        <w:pStyle w:val="Listaszerbekezds"/>
        <w:jc w:val="center"/>
        <w:rPr>
          <w:sz w:val="24"/>
          <w:szCs w:val="24"/>
        </w:rPr>
      </w:pPr>
      <w:r w:rsidRPr="003E0153">
        <w:rPr>
          <w:sz w:val="24"/>
          <w:szCs w:val="24"/>
        </w:rPr>
        <w:lastRenderedPageBreak/>
        <w:t>B.)</w:t>
      </w:r>
    </w:p>
    <w:p w:rsidR="00DC6384" w:rsidRPr="006E0E69" w:rsidRDefault="00DC6384" w:rsidP="00CA0FA0">
      <w:pPr>
        <w:pStyle w:val="Listaszerbekezds"/>
        <w:jc w:val="center"/>
        <w:rPr>
          <w:sz w:val="24"/>
          <w:szCs w:val="24"/>
        </w:rPr>
      </w:pPr>
      <w:r w:rsidRPr="003E0153">
        <w:rPr>
          <w:sz w:val="24"/>
          <w:szCs w:val="24"/>
        </w:rPr>
        <w:t>Kötelező feladatok</w:t>
      </w:r>
    </w:p>
    <w:p w:rsidR="00711B8F" w:rsidRPr="00642906" w:rsidRDefault="00EF5A0C" w:rsidP="00642906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>Prioritások</w:t>
      </w:r>
    </w:p>
    <w:p w:rsidR="00711B8F" w:rsidRDefault="002326F1" w:rsidP="00CA0FA0">
      <w:pPr>
        <w:pStyle w:val="Listaszerbekezds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Személyi kiadások változásai</w:t>
      </w:r>
    </w:p>
    <w:p w:rsidR="00D60657" w:rsidRDefault="00D60657" w:rsidP="00D60657">
      <w:pPr>
        <w:pStyle w:val="Listaszerbekezds"/>
        <w:rPr>
          <w:b/>
          <w:i/>
          <w:sz w:val="24"/>
          <w:szCs w:val="24"/>
        </w:rPr>
      </w:pPr>
    </w:p>
    <w:p w:rsidR="00D60657" w:rsidRDefault="00D60657" w:rsidP="00D60657">
      <w:pPr>
        <w:pStyle w:val="Listaszerbekezds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Az engedélyezett létszám általános elemzése</w:t>
      </w:r>
    </w:p>
    <w:p w:rsidR="002326F1" w:rsidRDefault="002326F1" w:rsidP="00CA0FA0">
      <w:pPr>
        <w:pStyle w:val="Listaszerbekezds"/>
        <w:jc w:val="center"/>
        <w:rPr>
          <w:b/>
          <w:i/>
          <w:sz w:val="24"/>
          <w:szCs w:val="24"/>
        </w:rPr>
      </w:pPr>
    </w:p>
    <w:p w:rsidR="008E2619" w:rsidRDefault="002326F1" w:rsidP="008E2619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A Zuglói Család és Gyermekjóléti Központ engedélyezett létszáma 79 fő, amely létszám</w:t>
      </w:r>
      <w:r w:rsidR="00B048D0">
        <w:rPr>
          <w:sz w:val="24"/>
          <w:szCs w:val="24"/>
        </w:rPr>
        <w:t>ból a munkatársak 80 százaléka közvetlen</w:t>
      </w:r>
      <w:r>
        <w:rPr>
          <w:sz w:val="24"/>
          <w:szCs w:val="24"/>
        </w:rPr>
        <w:t xml:space="preserve"> kliensellátásban</w:t>
      </w:r>
      <w:r w:rsidR="00B048D0">
        <w:rPr>
          <w:sz w:val="24"/>
          <w:szCs w:val="24"/>
        </w:rPr>
        <w:t xml:space="preserve"> vesz részt, a maradék 20 százalék többsége (szakmai vezetők, asszisztensek) közvetett módon vesz részt az ellátásban, illetve szervezi, vezeti, a Központ és Szolgálat szakmai munkáját. A teljes szervezet irányításában, a napi működés biztosításában (technikai, ügyintézési és a teljes szervezetre irányuló vezetői feladatot (5 fő+ intézményvezető) végzi.</w:t>
      </w:r>
      <w:r w:rsidR="00D60657">
        <w:rPr>
          <w:sz w:val="24"/>
          <w:szCs w:val="24"/>
        </w:rPr>
        <w:t xml:space="preserve"> A Központ és Szolgálat létszáma megfelel az előírásoknak, az ajánlott asszisztensi létszámokat tekintve 50 százalék</w:t>
      </w:r>
      <w:r w:rsidR="00807DAB">
        <w:rPr>
          <w:sz w:val="24"/>
          <w:szCs w:val="24"/>
        </w:rPr>
        <w:t>kal elmarad</w:t>
      </w:r>
      <w:r w:rsidR="00D60657">
        <w:rPr>
          <w:sz w:val="24"/>
          <w:szCs w:val="24"/>
        </w:rPr>
        <w:t xml:space="preserve"> a betöltött pozíciók száma, az iskolai szociális munkások előírt létszámából 8 fő hiányzik, ami a teljes létszám 44 százaléka. A fennmaradó létszám az intézmény működtetéséhez, irányításához, valamint a Zugló szociális és gyermekvédelmi tárgyú rendeleteinek végrehajtásában működik közre (adósságkezelés, minimumjövedelem, munkaközvetítés, Tükörkép), amely feladatok az Önkormányzatot tekintve önként, a ZCSK-t tekintve kötelezően ellátandó</w:t>
      </w:r>
      <w:r w:rsidR="00807DAB">
        <w:rPr>
          <w:sz w:val="24"/>
          <w:szCs w:val="24"/>
        </w:rPr>
        <w:t xml:space="preserve"> </w:t>
      </w:r>
      <w:r w:rsidR="00D60657">
        <w:rPr>
          <w:sz w:val="24"/>
          <w:szCs w:val="24"/>
        </w:rPr>
        <w:t>feladatok.</w:t>
      </w:r>
    </w:p>
    <w:p w:rsidR="000F5901" w:rsidRPr="00147BBD" w:rsidRDefault="000F5901" w:rsidP="008E2619">
      <w:pPr>
        <w:pStyle w:val="Listaszerbekezds"/>
        <w:jc w:val="both"/>
        <w:rPr>
          <w:sz w:val="24"/>
          <w:szCs w:val="24"/>
        </w:rPr>
      </w:pPr>
    </w:p>
    <w:tbl>
      <w:tblPr>
        <w:tblStyle w:val="Rcsostblzat"/>
        <w:tblW w:w="13041" w:type="dxa"/>
        <w:tblInd w:w="704" w:type="dxa"/>
        <w:tblLook w:val="04A0" w:firstRow="1" w:lastRow="0" w:firstColumn="1" w:lastColumn="0" w:noHBand="0" w:noVBand="1"/>
      </w:tblPr>
      <w:tblGrid>
        <w:gridCol w:w="975"/>
        <w:gridCol w:w="2850"/>
        <w:gridCol w:w="961"/>
        <w:gridCol w:w="961"/>
        <w:gridCol w:w="7543"/>
      </w:tblGrid>
      <w:tr w:rsidR="00D11E38" w:rsidRPr="00095B6D" w:rsidTr="00AB2B6A">
        <w:trPr>
          <w:trHeight w:val="300"/>
        </w:trPr>
        <w:tc>
          <w:tcPr>
            <w:tcW w:w="343" w:type="dxa"/>
            <w:noWrap/>
            <w:hideMark/>
          </w:tcPr>
          <w:p w:rsidR="00095B6D" w:rsidRPr="00095B6D" w:rsidRDefault="00095B6D" w:rsidP="00095B6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5B6D">
              <w:rPr>
                <w:rFonts w:ascii="Calibri" w:eastAsia="Times New Roman" w:hAnsi="Calibri" w:cs="Calibri"/>
                <w:color w:val="000000"/>
                <w:lang w:eastAsia="hu-HU"/>
              </w:rPr>
              <w:t>Rovat</w:t>
            </w:r>
          </w:p>
        </w:tc>
        <w:tc>
          <w:tcPr>
            <w:tcW w:w="2938" w:type="dxa"/>
            <w:noWrap/>
            <w:hideMark/>
          </w:tcPr>
          <w:p w:rsidR="00095B6D" w:rsidRPr="00095B6D" w:rsidRDefault="00095B6D" w:rsidP="00095B6D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5B6D">
              <w:rPr>
                <w:rFonts w:ascii="Calibri" w:eastAsia="Times New Roman" w:hAnsi="Calibri" w:cs="Calibri"/>
                <w:color w:val="000000"/>
                <w:lang w:eastAsia="hu-HU"/>
              </w:rPr>
              <w:t>Megnevezés</w:t>
            </w:r>
          </w:p>
        </w:tc>
        <w:tc>
          <w:tcPr>
            <w:tcW w:w="986" w:type="dxa"/>
            <w:noWrap/>
            <w:hideMark/>
          </w:tcPr>
          <w:p w:rsidR="00095B6D" w:rsidRPr="00095B6D" w:rsidRDefault="00095B6D" w:rsidP="00095B6D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5B6D">
              <w:rPr>
                <w:rFonts w:ascii="Calibri" w:eastAsia="Times New Roman" w:hAnsi="Calibri" w:cs="Calibri"/>
                <w:color w:val="000000"/>
                <w:lang w:eastAsia="hu-HU"/>
              </w:rPr>
              <w:t>201</w:t>
            </w:r>
            <w:r w:rsidR="00812BC4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  <w:r w:rsidRPr="00095B6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év</w:t>
            </w:r>
          </w:p>
        </w:tc>
        <w:tc>
          <w:tcPr>
            <w:tcW w:w="986" w:type="dxa"/>
            <w:noWrap/>
            <w:hideMark/>
          </w:tcPr>
          <w:p w:rsidR="00095B6D" w:rsidRPr="00095B6D" w:rsidRDefault="00095B6D" w:rsidP="00095B6D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5B6D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  <w:r w:rsidR="00812BC4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  <w:r w:rsidRPr="00095B6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év</w:t>
            </w:r>
          </w:p>
        </w:tc>
        <w:tc>
          <w:tcPr>
            <w:tcW w:w="7788" w:type="dxa"/>
            <w:noWrap/>
            <w:hideMark/>
          </w:tcPr>
          <w:p w:rsidR="00095B6D" w:rsidRPr="00095B6D" w:rsidRDefault="00095B6D" w:rsidP="00095B6D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95B6D" w:rsidRPr="00095B6D" w:rsidTr="00AB2B6A">
        <w:trPr>
          <w:trHeight w:val="285"/>
        </w:trPr>
        <w:tc>
          <w:tcPr>
            <w:tcW w:w="343" w:type="dxa"/>
            <w:noWrap/>
            <w:hideMark/>
          </w:tcPr>
          <w:p w:rsidR="00095B6D" w:rsidRPr="00095B6D" w:rsidRDefault="00095B6D" w:rsidP="00095B6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5B6D">
              <w:rPr>
                <w:rFonts w:ascii="Calibri" w:eastAsia="Times New Roman" w:hAnsi="Calibri" w:cs="Calibri"/>
                <w:color w:val="000000"/>
                <w:lang w:eastAsia="hu-HU"/>
              </w:rPr>
              <w:t>K110101</w:t>
            </w:r>
          </w:p>
        </w:tc>
        <w:tc>
          <w:tcPr>
            <w:tcW w:w="2938" w:type="dxa"/>
            <w:noWrap/>
            <w:hideMark/>
          </w:tcPr>
          <w:p w:rsidR="00095B6D" w:rsidRPr="00095B6D" w:rsidRDefault="00095B6D" w:rsidP="00095B6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5B6D">
              <w:rPr>
                <w:rFonts w:ascii="Calibri" w:eastAsia="Times New Roman" w:hAnsi="Calibri" w:cs="Calibri"/>
                <w:color w:val="000000"/>
                <w:lang w:eastAsia="hu-HU"/>
              </w:rPr>
              <w:t>Alapilletmények kiadásai</w:t>
            </w:r>
          </w:p>
        </w:tc>
        <w:tc>
          <w:tcPr>
            <w:tcW w:w="986" w:type="dxa"/>
            <w:noWrap/>
            <w:hideMark/>
          </w:tcPr>
          <w:p w:rsidR="00095B6D" w:rsidRPr="00095B6D" w:rsidRDefault="00820BF4" w:rsidP="00095B6D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184 675</w:t>
            </w:r>
          </w:p>
        </w:tc>
        <w:tc>
          <w:tcPr>
            <w:tcW w:w="986" w:type="dxa"/>
            <w:noWrap/>
            <w:hideMark/>
          </w:tcPr>
          <w:p w:rsidR="00095B6D" w:rsidRPr="00095B6D" w:rsidRDefault="00820BF4" w:rsidP="00095B6D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197470</w:t>
            </w:r>
          </w:p>
        </w:tc>
        <w:tc>
          <w:tcPr>
            <w:tcW w:w="7788" w:type="dxa"/>
            <w:noWrap/>
            <w:hideMark/>
          </w:tcPr>
          <w:p w:rsidR="00D11E38" w:rsidRPr="00760EBD" w:rsidRDefault="00A464A7" w:rsidP="00760EBD">
            <w:r>
              <w:t>szerkezeti, soros emelkedésekből eredő</w:t>
            </w:r>
            <w:r w:rsidR="009154D9">
              <w:t xml:space="preserve"> növekmény</w:t>
            </w:r>
          </w:p>
          <w:p w:rsidR="00095B6D" w:rsidRDefault="00095B6D" w:rsidP="00095B6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C06BA0" w:rsidRPr="00095B6D" w:rsidRDefault="00C06BA0" w:rsidP="00095B6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760EBD" w:rsidRDefault="00760EBD" w:rsidP="00D11E38">
      <w:pPr>
        <w:jc w:val="both"/>
      </w:pPr>
    </w:p>
    <w:p w:rsidR="009154D9" w:rsidRPr="008E0441" w:rsidRDefault="009154D9" w:rsidP="008E0441">
      <w:pPr>
        <w:pStyle w:val="Listaszerbekezds"/>
        <w:jc w:val="both"/>
        <w:rPr>
          <w:rFonts w:cstheme="minorHAnsi"/>
          <w:sz w:val="24"/>
          <w:szCs w:val="24"/>
        </w:rPr>
      </w:pPr>
      <w:r w:rsidRPr="00960D33">
        <w:rPr>
          <w:rFonts w:cstheme="minorHAnsi"/>
          <w:sz w:val="24"/>
          <w:szCs w:val="24"/>
        </w:rPr>
        <w:t>Az Intézményben dolgozó teljes munkatársi létszám 29 százaléka az alapfeladata mellett 2 vagy több egyéb, az Intézmény működéséhez, a szakmai feladatok ellátásához tartozó nevesített feladatot (jelzőrendszeri tanácsadó, koordinátor, csoportvezető, egyéb vezető, munkavédelmi</w:t>
      </w:r>
      <w:r>
        <w:rPr>
          <w:rFonts w:cstheme="minorHAnsi"/>
          <w:sz w:val="24"/>
          <w:szCs w:val="24"/>
        </w:rPr>
        <w:t>, adatvédelmi</w:t>
      </w:r>
      <w:r w:rsidRPr="00960D33">
        <w:rPr>
          <w:rFonts w:cstheme="minorHAnsi"/>
          <w:sz w:val="24"/>
          <w:szCs w:val="24"/>
        </w:rPr>
        <w:t xml:space="preserve"> felelős stb.) lát el. Ha a kötelező prevenciós feladatokat, rendezvények szervezését, szakmai, módszertani fejlesztéseket, pályázati munkákat, projektek, mediáció, családterápia stb. megvalósítását nézzük, amelyek időszakos, de az évet átívelő visszatérő feladatoknak kell tekintenünk, akkor az alapfeladat mellett, 2 vagy több feladatot ellátó munkatársak aránya 89 százalékra </w:t>
      </w:r>
      <w:r w:rsidRPr="00960D33">
        <w:rPr>
          <w:rFonts w:cstheme="minorHAnsi"/>
          <w:sz w:val="24"/>
          <w:szCs w:val="24"/>
        </w:rPr>
        <w:lastRenderedPageBreak/>
        <w:t xml:space="preserve">növekszik. Mindez azt jelenti, hogy a meglehetősen komplex, idő- és módszerigényes családsegítés és esetmenedzseri feladatok mellett kevés kivétellel, szinte mindenkinek, tartósan vagy időszakosan egyéb munkafeladatokat is el kell látni. Mindezt úgy, hogy az igénybe vevői létszámot, a sztenderd 1 családsegítő/25 család, az </w:t>
      </w:r>
      <w:r w:rsidRPr="007A2953">
        <w:rPr>
          <w:rFonts w:cstheme="minorHAnsi"/>
          <w:sz w:val="24"/>
          <w:szCs w:val="24"/>
        </w:rPr>
        <w:t>1 esetmenedzser/50 család rendszeresen és tartósan meghaladjuk. A családsegítők 1 főre eső esetterhelése, 50-60 család, duplája az</w:t>
      </w:r>
      <w:r>
        <w:rPr>
          <w:rFonts w:cstheme="minorHAnsi"/>
          <w:sz w:val="24"/>
          <w:szCs w:val="24"/>
        </w:rPr>
        <w:t xml:space="preserve"> előírtnak, a tanácsadók, esetmenedzserek változó esetterheléssel dolgoznak jelenleg  51 család/1 szakember, az adósságkezelési, munkaközvetítés, minimumjövedelembe részesülő kötelezett kliensek száma 90 fő/1 tanácsadó. A többletfeladatokat, illet</w:t>
      </w:r>
      <w:r w:rsidR="00DD5767">
        <w:rPr>
          <w:rFonts w:cstheme="minorHAnsi"/>
          <w:sz w:val="24"/>
          <w:szCs w:val="24"/>
        </w:rPr>
        <w:t>ve a hétvégi kapcsolatügyelet fi</w:t>
      </w:r>
      <w:r>
        <w:rPr>
          <w:rFonts w:cstheme="minorHAnsi"/>
          <w:sz w:val="24"/>
          <w:szCs w:val="24"/>
        </w:rPr>
        <w:t>nanszírozását</w:t>
      </w:r>
      <w:r w:rsidR="00DD5767">
        <w:rPr>
          <w:rFonts w:cstheme="minorHAnsi"/>
          <w:sz w:val="24"/>
          <w:szCs w:val="24"/>
        </w:rPr>
        <w:t xml:space="preserve"> illetménykiegészítéssel biztosítjuk, mivel egyéb (túlmunka, túlóra) a család- és gyermekjólétiközpont munkarendjébe nehezen illeszthető, illetve olyan adminisztráció teherrel jár, ami a meglévő, a munkaidő nagyjából 40 százalékát kitevő adminisztrációs követelmények miatt jelentősen növelné a ráfordított időt, amit a kliensmunkától veszünk el.</w:t>
      </w:r>
    </w:p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860"/>
        <w:gridCol w:w="960"/>
        <w:gridCol w:w="960"/>
        <w:gridCol w:w="8082"/>
      </w:tblGrid>
      <w:tr w:rsidR="009154D9" w:rsidRPr="00760EBD" w:rsidTr="00441434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D9" w:rsidRPr="00760EBD" w:rsidRDefault="009154D9" w:rsidP="00441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60EBD">
              <w:rPr>
                <w:rFonts w:ascii="Calibri" w:eastAsia="Times New Roman" w:hAnsi="Calibri" w:cs="Calibri"/>
                <w:color w:val="000000"/>
                <w:lang w:eastAsia="hu-HU"/>
              </w:rPr>
              <w:t>K110102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D9" w:rsidRPr="00760EBD" w:rsidRDefault="009154D9" w:rsidP="00441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60EBD">
              <w:rPr>
                <w:rFonts w:ascii="Calibri" w:eastAsia="Times New Roman" w:hAnsi="Calibri" w:cs="Calibri"/>
                <w:color w:val="000000"/>
                <w:lang w:eastAsia="hu-HU"/>
              </w:rPr>
              <w:t>Illetménykiegészítés (</w:t>
            </w:r>
            <w:proofErr w:type="spellStart"/>
            <w:r w:rsidRPr="00760EBD">
              <w:rPr>
                <w:rFonts w:ascii="Calibri" w:eastAsia="Times New Roman" w:hAnsi="Calibri" w:cs="Calibri"/>
                <w:color w:val="000000"/>
                <w:lang w:eastAsia="hu-HU"/>
              </w:rPr>
              <w:t>ker.kieg</w:t>
            </w:r>
            <w:proofErr w:type="spellEnd"/>
            <w:r w:rsidRPr="00760EBD">
              <w:rPr>
                <w:rFonts w:ascii="Calibri" w:eastAsia="Times New Roman" w:hAnsi="Calibri" w:cs="Calibri"/>
                <w:color w:val="000000"/>
                <w:lang w:eastAsia="hu-HU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D9" w:rsidRPr="00760EBD" w:rsidRDefault="009154D9" w:rsidP="00441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7812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D9" w:rsidRPr="00760EBD" w:rsidRDefault="00DD5767" w:rsidP="00441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10416</w:t>
            </w: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54D9" w:rsidRPr="00760EBD" w:rsidRDefault="009154D9" w:rsidP="00441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60EBD">
              <w:rPr>
                <w:rFonts w:ascii="Calibri" w:eastAsia="Times New Roman" w:hAnsi="Calibri" w:cs="Calibri"/>
                <w:color w:val="000000"/>
                <w:lang w:eastAsia="hu-HU"/>
              </w:rPr>
              <w:t>Kapcsolatügy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eletet</w:t>
            </w:r>
            <w:r w:rsidRPr="00760EBD">
              <w:rPr>
                <w:rFonts w:ascii="Calibri" w:eastAsia="Times New Roman" w:hAnsi="Calibri" w:cs="Calibri"/>
                <w:color w:val="000000"/>
                <w:lang w:eastAsia="hu-H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n</w:t>
            </w:r>
            <w:r w:rsidRPr="00760EB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yári tábor, belső továbbképzés,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p</w:t>
            </w:r>
            <w:r w:rsidRPr="00760EBD">
              <w:rPr>
                <w:rFonts w:ascii="Calibri" w:eastAsia="Times New Roman" w:hAnsi="Calibri" w:cs="Calibri"/>
                <w:color w:val="000000"/>
                <w:lang w:eastAsia="hu-HU"/>
              </w:rPr>
              <w:t>ályázatok készítése, szakmai, szabadidős programok pl.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760EBD">
              <w:rPr>
                <w:rFonts w:ascii="Calibri" w:eastAsia="Times New Roman" w:hAnsi="Calibri" w:cs="Calibri"/>
                <w:color w:val="000000"/>
                <w:lang w:eastAsia="hu-HU"/>
              </w:rPr>
              <w:t>gyereknap</w:t>
            </w:r>
          </w:p>
        </w:tc>
      </w:tr>
    </w:tbl>
    <w:p w:rsidR="009154D9" w:rsidRDefault="009154D9" w:rsidP="00D11E38">
      <w:pPr>
        <w:jc w:val="both"/>
      </w:pPr>
    </w:p>
    <w:p w:rsidR="00DD5767" w:rsidRDefault="00DD5767" w:rsidP="00D11E38">
      <w:pPr>
        <w:jc w:val="both"/>
      </w:pPr>
      <w:r>
        <w:t>A fenti viszonylag jelentős növekmény a kapcsolatügyelet óradíjának emelkedéséből adódik, ami 2015 óta 2800 Ft/óra/fő. Nem csak az eltel idő indokolja, hanem a gyermekvédelmi közvetítésben kijelölt mediátorok</w:t>
      </w:r>
      <w:r w:rsidR="00B02E39">
        <w:t xml:space="preserve"> rendeletben </w:t>
      </w:r>
      <w:r>
        <w:t>megállapított óradíja, ami 3450 Ft, illetve a piaci árak megemelkedése (20.000 Ft/</w:t>
      </w:r>
      <w:proofErr w:type="spellStart"/>
      <w:r>
        <w:t>alk</w:t>
      </w:r>
      <w:proofErr w:type="spellEnd"/>
      <w:r>
        <w:t>/fő). Ahhoz, hogy a hétvégi kapcsolatügyletet vállalják a mediátorok</w:t>
      </w:r>
      <w:r w:rsidR="00DA7E0E">
        <w:t xml:space="preserve"> (és ne piaci szolgáltatásokban vegyenek részt) szükséges az óradíj emelés. Másrészről, az óvodai, iskolai szociális munka szolgáltatásokban egyre több olyan megrendelés jelentkezik, amit a ZCSK-</w:t>
      </w:r>
      <w:proofErr w:type="spellStart"/>
      <w:r w:rsidR="00DA7E0E">
        <w:t>nak</w:t>
      </w:r>
      <w:proofErr w:type="spellEnd"/>
      <w:r w:rsidR="00DA7E0E">
        <w:t xml:space="preserve"> kell teljesítenie, és amely a munkaidőn túli (hétvégi családi napok, bentlakásos tábor, tréningek), valamint az intézményi többletből adódó plusz munka ellentételezése emeli meg 2019. évhez képest.  Mindezeken túl számos olyan szükséges feladat jelentkezik, amelyet a mun</w:t>
      </w:r>
      <w:r w:rsidR="00B02E39">
        <w:t>ka</w:t>
      </w:r>
      <w:r w:rsidR="00DA7E0E">
        <w:t>társak a munkakörük ellátása mellett vállalnak (pályázat, kutatásban való részvétel, módszertani fejlesztés, adminisztráció fejlesztés, nyilvánosság, honlap aktualizálása, esetmegbeszélések vezetése jelzőrendszeri tagoknak stb.) amit e rovatban számolunk el.</w:t>
      </w:r>
    </w:p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2791"/>
        <w:gridCol w:w="937"/>
        <w:gridCol w:w="937"/>
        <w:gridCol w:w="7847"/>
      </w:tblGrid>
      <w:tr w:rsidR="00FF6C7D" w:rsidRPr="00FF6C7D" w:rsidTr="00FF6C7D">
        <w:trPr>
          <w:trHeight w:val="494"/>
        </w:trPr>
        <w:tc>
          <w:tcPr>
            <w:tcW w:w="137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C7D" w:rsidRPr="00FF6C7D" w:rsidRDefault="00FF6C7D" w:rsidP="00FF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F6C7D">
              <w:rPr>
                <w:rFonts w:ascii="Calibri" w:eastAsia="Times New Roman" w:hAnsi="Calibri" w:cs="Calibri"/>
                <w:color w:val="000000"/>
                <w:lang w:eastAsia="hu-HU"/>
              </w:rPr>
              <w:t>K1113990503</w:t>
            </w:r>
          </w:p>
        </w:tc>
        <w:tc>
          <w:tcPr>
            <w:tcW w:w="2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C7D" w:rsidRPr="00FF6C7D" w:rsidRDefault="00FF6C7D" w:rsidP="00FF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F6C7D">
              <w:rPr>
                <w:rFonts w:ascii="Calibri" w:eastAsia="Times New Roman" w:hAnsi="Calibri" w:cs="Calibri"/>
                <w:color w:val="000000"/>
                <w:lang w:eastAsia="hu-HU"/>
              </w:rPr>
              <w:t>Továbbtanulók támogatása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C7D" w:rsidRPr="00FF6C7D" w:rsidRDefault="004C7831" w:rsidP="00FF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670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C7D" w:rsidRPr="00FF6C7D" w:rsidRDefault="004C7831" w:rsidP="00FF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580</w:t>
            </w:r>
          </w:p>
        </w:tc>
        <w:tc>
          <w:tcPr>
            <w:tcW w:w="7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6C7D" w:rsidRPr="00FF6C7D" w:rsidRDefault="001122DB" w:rsidP="00FF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kötelező továbbképzések és előírt iskolarendszerű képzések támogatása</w:t>
            </w:r>
          </w:p>
        </w:tc>
      </w:tr>
    </w:tbl>
    <w:p w:rsidR="00FF6C7D" w:rsidRDefault="00FF6C7D" w:rsidP="00D11E38">
      <w:pPr>
        <w:jc w:val="both"/>
      </w:pPr>
    </w:p>
    <w:p w:rsidR="00760EBD" w:rsidRDefault="001122DB" w:rsidP="00D11E38">
      <w:pPr>
        <w:jc w:val="both"/>
      </w:pPr>
      <w:r>
        <w:t>A munkatársak tanulmányainak támogatása, különös tekintettel a kötelező képzésekre, érinti a kredithez kötött, illetve a feladat</w:t>
      </w:r>
      <w:r w:rsidR="004C7831">
        <w:t>hoz kötött továbbképzéseket.</w:t>
      </w:r>
    </w:p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2791"/>
        <w:gridCol w:w="937"/>
        <w:gridCol w:w="937"/>
        <w:gridCol w:w="7847"/>
      </w:tblGrid>
      <w:tr w:rsidR="004C7831" w:rsidRPr="00FF6C7D" w:rsidTr="00441434">
        <w:trPr>
          <w:trHeight w:val="494"/>
        </w:trPr>
        <w:tc>
          <w:tcPr>
            <w:tcW w:w="137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831" w:rsidRPr="00FF6C7D" w:rsidRDefault="004C7831" w:rsidP="00441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C7831">
              <w:rPr>
                <w:rFonts w:ascii="Calibri" w:eastAsia="Times New Roman" w:hAnsi="Calibri" w:cs="Calibri"/>
                <w:color w:val="000000"/>
                <w:lang w:eastAsia="hu-HU"/>
              </w:rPr>
              <w:t>K3550801</w:t>
            </w:r>
          </w:p>
        </w:tc>
        <w:tc>
          <w:tcPr>
            <w:tcW w:w="2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831" w:rsidRPr="00FF6C7D" w:rsidRDefault="004C7831" w:rsidP="00441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C7831">
              <w:rPr>
                <w:rFonts w:ascii="Calibri" w:eastAsia="Times New Roman" w:hAnsi="Calibri" w:cs="Calibri"/>
                <w:color w:val="000000"/>
                <w:lang w:eastAsia="hu-HU"/>
              </w:rPr>
              <w:t>Egyéb különféle dologi - kredit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831" w:rsidRPr="00FF6C7D" w:rsidRDefault="004C7831" w:rsidP="00441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954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831" w:rsidRPr="00FF6C7D" w:rsidRDefault="004C7831" w:rsidP="00441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960</w:t>
            </w:r>
          </w:p>
        </w:tc>
        <w:tc>
          <w:tcPr>
            <w:tcW w:w="7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7831" w:rsidRPr="00FF6C7D" w:rsidRDefault="004C7831" w:rsidP="00441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kötelező továbbképzések, kreditet nyújtó továbbképzések</w:t>
            </w:r>
          </w:p>
        </w:tc>
      </w:tr>
    </w:tbl>
    <w:p w:rsidR="004C7831" w:rsidRPr="00DA7E0E" w:rsidRDefault="00695D7C" w:rsidP="00D11E38">
      <w:pPr>
        <w:jc w:val="both"/>
      </w:pPr>
      <w:r>
        <w:lastRenderedPageBreak/>
        <w:t>A fluktu</w:t>
      </w:r>
      <w:r w:rsidR="004C7831">
        <w:t xml:space="preserve">áció, valamint az előírt továbbképzések miatt minden évben tervezzük mediátorok képzését, továbbképzését, a gazdasági, személyügyi munkatársak továbbképzését és a pszichológusok továbbképzését. A szociális munkát végzők kötelező szakmai továbbképzése átalakult, az elkövetkezőkben igyekszünk uniós </w:t>
      </w:r>
      <w:proofErr w:type="spellStart"/>
      <w:r w:rsidR="004C7831">
        <w:t>finanszírozású</w:t>
      </w:r>
      <w:proofErr w:type="spellEnd"/>
      <w:r w:rsidR="004C7831">
        <w:t>, ingyenes továbbképzésekbe bekapcsolódni (2019. évben 2 ilyen képzésnek adtunk helyet, amely egyszerre nagylétszámú 20-20 fő</w:t>
      </w:r>
      <w:r>
        <w:t xml:space="preserve"> saját dolgozó</w:t>
      </w:r>
      <w:r w:rsidR="004C7831">
        <w:t xml:space="preserve"> kötelező alapképzését valósította meg.).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2860"/>
        <w:gridCol w:w="960"/>
        <w:gridCol w:w="960"/>
        <w:gridCol w:w="8224"/>
      </w:tblGrid>
      <w:tr w:rsidR="00584D70" w:rsidRPr="00584D70" w:rsidTr="00584D70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D70" w:rsidRPr="00584D70" w:rsidRDefault="00584D70" w:rsidP="0058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4D70">
              <w:rPr>
                <w:rFonts w:ascii="Calibri" w:eastAsia="Times New Roman" w:hAnsi="Calibri" w:cs="Calibri"/>
                <w:color w:val="000000"/>
                <w:lang w:eastAsia="hu-HU"/>
              </w:rPr>
              <w:t>K3550802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D70" w:rsidRPr="00584D70" w:rsidRDefault="00584D70" w:rsidP="0058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4D70">
              <w:rPr>
                <w:rFonts w:ascii="Calibri" w:eastAsia="Times New Roman" w:hAnsi="Calibri" w:cs="Calibri"/>
                <w:color w:val="000000"/>
                <w:lang w:eastAsia="hu-HU"/>
              </w:rPr>
              <w:t>Helyi bérlet BKK (nettó)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D70" w:rsidRPr="00584D70" w:rsidRDefault="004C7831" w:rsidP="0058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14553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D70" w:rsidRPr="00584D70" w:rsidRDefault="00B83133" w:rsidP="0058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9828</w:t>
            </w:r>
          </w:p>
        </w:tc>
        <w:tc>
          <w:tcPr>
            <w:tcW w:w="8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4D70" w:rsidRPr="00584D70" w:rsidRDefault="00584D70" w:rsidP="0058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8979B3" w:rsidRDefault="00584D70" w:rsidP="008979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fenti</w:t>
      </w:r>
      <w:r w:rsidR="00B83133">
        <w:rPr>
          <w:sz w:val="24"/>
          <w:szCs w:val="24"/>
        </w:rPr>
        <w:t xml:space="preserve"> sorban jelentkező kiadáscsökkenés a tervezett éves bérlet és havi bérlet közötti árkülönbségből ered. </w:t>
      </w:r>
      <w:r>
        <w:rPr>
          <w:sz w:val="24"/>
          <w:szCs w:val="24"/>
        </w:rPr>
        <w:t xml:space="preserve">Minden dolgozó (az igazgató, a gépkocsivezető kivételével) terepen is dolgozik, családot látogat, </w:t>
      </w:r>
      <w:r w:rsidR="00FF6C7D">
        <w:rPr>
          <w:sz w:val="24"/>
          <w:szCs w:val="24"/>
        </w:rPr>
        <w:t>intézménybe megy ki konzultálni, szolgáltatóval tárgyal, tárgyalásra jár, kíséretet biztosít, körn</w:t>
      </w:r>
      <w:r w:rsidR="00B83133">
        <w:rPr>
          <w:sz w:val="24"/>
          <w:szCs w:val="24"/>
        </w:rPr>
        <w:t>yezettanulmányt készít, vagy a 2</w:t>
      </w:r>
      <w:r w:rsidR="00FF6C7D">
        <w:rPr>
          <w:sz w:val="24"/>
          <w:szCs w:val="24"/>
        </w:rPr>
        <w:t xml:space="preserve"> telephelyen végzi el a szolgáltatást vagy a napi </w:t>
      </w:r>
      <w:r w:rsidR="00B83133">
        <w:rPr>
          <w:sz w:val="24"/>
          <w:szCs w:val="24"/>
        </w:rPr>
        <w:t>munkafeladatot.</w:t>
      </w:r>
    </w:p>
    <w:p w:rsidR="00695D7C" w:rsidRDefault="00695D7C" w:rsidP="008979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Enyhe emelkedés mutatkozik a </w:t>
      </w:r>
      <w:r w:rsidRPr="00695D7C">
        <w:rPr>
          <w:sz w:val="24"/>
          <w:szCs w:val="24"/>
        </w:rPr>
        <w:t>K110902</w:t>
      </w:r>
      <w:r>
        <w:rPr>
          <w:sz w:val="24"/>
          <w:szCs w:val="24"/>
        </w:rPr>
        <w:t xml:space="preserve"> utazási költségtérítés rovaton, mivel a budapesti lakás- és albérletárak miatt nem tudnak helyben lakást vásárolni, vagy a fővárosba költözni, vagy épp vidékre költöznek.</w:t>
      </w:r>
    </w:p>
    <w:p w:rsidR="001A7396" w:rsidRDefault="001A7396" w:rsidP="008979B3">
      <w:pPr>
        <w:jc w:val="both"/>
        <w:rPr>
          <w:sz w:val="24"/>
          <w:szCs w:val="24"/>
        </w:rPr>
      </w:pPr>
      <w:r>
        <w:rPr>
          <w:sz w:val="24"/>
          <w:szCs w:val="24"/>
        </w:rPr>
        <w:t>Növekmény mutatkozik a Jubileumi rovaton is (</w:t>
      </w:r>
      <w:r w:rsidRPr="001A7396">
        <w:rPr>
          <w:sz w:val="24"/>
          <w:szCs w:val="24"/>
        </w:rPr>
        <w:t>K1106</w:t>
      </w:r>
      <w:r>
        <w:rPr>
          <w:sz w:val="24"/>
          <w:szCs w:val="24"/>
        </w:rPr>
        <w:t>), mivel 4 munkatárs tölti be a 25, 30 és 40 jubileumi évet, valamint két munkatárs nyugdíjba vonulását tervezi, amihez felmentés társul (</w:t>
      </w:r>
      <w:r w:rsidRPr="001A7396">
        <w:rPr>
          <w:sz w:val="24"/>
          <w:szCs w:val="24"/>
        </w:rPr>
        <w:t>K1113990507</w:t>
      </w:r>
      <w:r>
        <w:rPr>
          <w:sz w:val="24"/>
          <w:szCs w:val="24"/>
        </w:rPr>
        <w:t>).</w:t>
      </w:r>
    </w:p>
    <w:p w:rsidR="001A7396" w:rsidRDefault="001A7396" w:rsidP="008979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Jelentős növekmény mutatkozik a </w:t>
      </w:r>
      <w:r w:rsidRPr="001A7396">
        <w:rPr>
          <w:sz w:val="24"/>
          <w:szCs w:val="24"/>
        </w:rPr>
        <w:t>K12201</w:t>
      </w:r>
      <w:r>
        <w:rPr>
          <w:sz w:val="24"/>
          <w:szCs w:val="24"/>
        </w:rPr>
        <w:t xml:space="preserve"> Állományba nem tartozók megbí</w:t>
      </w:r>
      <w:r w:rsidRPr="001A7396">
        <w:rPr>
          <w:sz w:val="24"/>
          <w:szCs w:val="24"/>
        </w:rPr>
        <w:t>zási díja</w:t>
      </w:r>
      <w:r>
        <w:rPr>
          <w:sz w:val="24"/>
          <w:szCs w:val="24"/>
        </w:rPr>
        <w:t xml:space="preserve"> rovaton, mivel a karbantartó 2019. évben nyugdíjba ment, és sem alkalmas, sem fizetési elvárásoknak megfelelő új karbantartót nem találtunk, ezért megbízással oldottuk meg a karbantartói feladatokat, és 4 órás részmunkaidővel a sofőri, kézbesítési feladatokat. </w:t>
      </w:r>
    </w:p>
    <w:p w:rsidR="008979B3" w:rsidRPr="0058535D" w:rsidRDefault="001122DB" w:rsidP="001122DB">
      <w:pPr>
        <w:jc w:val="center"/>
        <w:rPr>
          <w:b/>
          <w:i/>
          <w:sz w:val="24"/>
          <w:szCs w:val="24"/>
        </w:rPr>
      </w:pPr>
      <w:r w:rsidRPr="0058535D">
        <w:rPr>
          <w:b/>
          <w:i/>
          <w:sz w:val="24"/>
          <w:szCs w:val="24"/>
        </w:rPr>
        <w:t>Dologi kiadások változásai</w:t>
      </w:r>
    </w:p>
    <w:p w:rsidR="00273C69" w:rsidRDefault="009154D9" w:rsidP="005379C1">
      <w:pPr>
        <w:jc w:val="both"/>
        <w:rPr>
          <w:sz w:val="24"/>
          <w:szCs w:val="24"/>
        </w:rPr>
      </w:pPr>
      <w:r>
        <w:rPr>
          <w:sz w:val="24"/>
          <w:szCs w:val="24"/>
        </w:rPr>
        <w:t>A 2019. évi tervezett dologi kiadások a beszerzések, valamint az új telephely átadásának elmaradása miatt 23 millió Ft maradvány keletkezett. Az alábbiakban bemutatott növekmények így a 2020. évi köl</w:t>
      </w:r>
      <w:r w:rsidR="00952789">
        <w:rPr>
          <w:sz w:val="24"/>
          <w:szCs w:val="24"/>
        </w:rPr>
        <w:t>tségvetésbe kerültek az elhalasztott beszerzések és költségeik</w:t>
      </w:r>
      <w:r>
        <w:rPr>
          <w:sz w:val="24"/>
          <w:szCs w:val="24"/>
        </w:rPr>
        <w:t>.</w:t>
      </w:r>
    </w:p>
    <w:tbl>
      <w:tblPr>
        <w:tblStyle w:val="Rcsostblzat"/>
        <w:tblW w:w="14024" w:type="dxa"/>
        <w:tblLook w:val="04A0" w:firstRow="1" w:lastRow="0" w:firstColumn="1" w:lastColumn="0" w:noHBand="0" w:noVBand="1"/>
      </w:tblPr>
      <w:tblGrid>
        <w:gridCol w:w="1180"/>
        <w:gridCol w:w="2800"/>
        <w:gridCol w:w="960"/>
        <w:gridCol w:w="700"/>
        <w:gridCol w:w="3700"/>
        <w:gridCol w:w="4684"/>
      </w:tblGrid>
      <w:tr w:rsidR="001122DB" w:rsidRPr="001122DB" w:rsidTr="001122DB">
        <w:trPr>
          <w:trHeight w:val="240"/>
        </w:trPr>
        <w:tc>
          <w:tcPr>
            <w:tcW w:w="1180" w:type="dxa"/>
            <w:noWrap/>
            <w:hideMark/>
          </w:tcPr>
          <w:p w:rsidR="001122DB" w:rsidRPr="001122DB" w:rsidRDefault="001122DB" w:rsidP="001122D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>Rovat</w:t>
            </w:r>
          </w:p>
        </w:tc>
        <w:tc>
          <w:tcPr>
            <w:tcW w:w="2800" w:type="dxa"/>
            <w:noWrap/>
            <w:hideMark/>
          </w:tcPr>
          <w:p w:rsidR="001122DB" w:rsidRPr="001122DB" w:rsidRDefault="001122DB" w:rsidP="001122D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>Megnevezés</w:t>
            </w:r>
          </w:p>
        </w:tc>
        <w:tc>
          <w:tcPr>
            <w:tcW w:w="960" w:type="dxa"/>
            <w:noWrap/>
            <w:hideMark/>
          </w:tcPr>
          <w:p w:rsidR="001122DB" w:rsidRPr="001122DB" w:rsidRDefault="001721BF" w:rsidP="001122D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2019</w:t>
            </w:r>
            <w:r w:rsidR="001122DB"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év</w:t>
            </w:r>
          </w:p>
        </w:tc>
        <w:tc>
          <w:tcPr>
            <w:tcW w:w="700" w:type="dxa"/>
            <w:noWrap/>
            <w:hideMark/>
          </w:tcPr>
          <w:p w:rsidR="001122DB" w:rsidRPr="001122DB" w:rsidRDefault="001721BF" w:rsidP="001122D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2020</w:t>
            </w:r>
            <w:r w:rsidR="001122DB"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év</w:t>
            </w:r>
          </w:p>
        </w:tc>
        <w:tc>
          <w:tcPr>
            <w:tcW w:w="3700" w:type="dxa"/>
            <w:hideMark/>
          </w:tcPr>
          <w:p w:rsidR="001122DB" w:rsidRPr="001122DB" w:rsidRDefault="001122DB" w:rsidP="001122D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>részletek</w:t>
            </w:r>
          </w:p>
        </w:tc>
        <w:tc>
          <w:tcPr>
            <w:tcW w:w="4684" w:type="dxa"/>
            <w:hideMark/>
          </w:tcPr>
          <w:p w:rsidR="001122DB" w:rsidRPr="001122DB" w:rsidRDefault="001122DB" w:rsidP="001122D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>indoklás</w:t>
            </w:r>
          </w:p>
        </w:tc>
      </w:tr>
      <w:tr w:rsidR="001122DB" w:rsidRPr="001122DB" w:rsidTr="001122DB">
        <w:trPr>
          <w:trHeight w:val="907"/>
        </w:trPr>
        <w:tc>
          <w:tcPr>
            <w:tcW w:w="1180" w:type="dxa"/>
            <w:noWrap/>
            <w:hideMark/>
          </w:tcPr>
          <w:p w:rsidR="001122DB" w:rsidRPr="001122DB" w:rsidRDefault="001122DB" w:rsidP="001122D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>K6302</w:t>
            </w:r>
          </w:p>
        </w:tc>
        <w:tc>
          <w:tcPr>
            <w:tcW w:w="2800" w:type="dxa"/>
            <w:noWrap/>
            <w:hideMark/>
          </w:tcPr>
          <w:p w:rsidR="001122DB" w:rsidRPr="001122DB" w:rsidRDefault="001122DB" w:rsidP="001122D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>Számtech</w:t>
            </w:r>
            <w:r w:rsidR="00CE0F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nikai </w:t>
            </w:r>
            <w:r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>gépek</w:t>
            </w:r>
          </w:p>
        </w:tc>
        <w:tc>
          <w:tcPr>
            <w:tcW w:w="960" w:type="dxa"/>
            <w:noWrap/>
            <w:hideMark/>
          </w:tcPr>
          <w:p w:rsidR="001122DB" w:rsidRPr="001122DB" w:rsidRDefault="001721BF" w:rsidP="001122D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2400</w:t>
            </w:r>
          </w:p>
        </w:tc>
        <w:tc>
          <w:tcPr>
            <w:tcW w:w="700" w:type="dxa"/>
            <w:noWrap/>
            <w:hideMark/>
          </w:tcPr>
          <w:p w:rsidR="001122DB" w:rsidRPr="001122DB" w:rsidRDefault="001721BF" w:rsidP="001122D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4555</w:t>
            </w:r>
          </w:p>
        </w:tc>
        <w:tc>
          <w:tcPr>
            <w:tcW w:w="3700" w:type="dxa"/>
            <w:hideMark/>
          </w:tcPr>
          <w:p w:rsidR="001122DB" w:rsidRPr="001122DB" w:rsidRDefault="001721BF" w:rsidP="001122D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21B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sztg.14*191(2674) tablet13/laptop 1*150(2100) hálózati nyomtató3*130(390) </w:t>
            </w:r>
            <w:proofErr w:type="spellStart"/>
            <w:r w:rsidRPr="001721BF">
              <w:rPr>
                <w:rFonts w:ascii="Calibri" w:eastAsia="Times New Roman" w:hAnsi="Calibri" w:cs="Calibri"/>
                <w:color w:val="000000"/>
                <w:lang w:eastAsia="hu-HU"/>
              </w:rPr>
              <w:t>billenytyűzet+egér</w:t>
            </w:r>
            <w:proofErr w:type="spellEnd"/>
            <w:r w:rsidRPr="001721BF">
              <w:rPr>
                <w:rFonts w:ascii="Calibri" w:eastAsia="Times New Roman" w:hAnsi="Calibri" w:cs="Calibri"/>
                <w:color w:val="000000"/>
                <w:lang w:eastAsia="hu-HU"/>
              </w:rPr>
              <w:t>(100)</w:t>
            </w:r>
          </w:p>
        </w:tc>
        <w:tc>
          <w:tcPr>
            <w:tcW w:w="4684" w:type="dxa"/>
            <w:hideMark/>
          </w:tcPr>
          <w:p w:rsidR="001122DB" w:rsidRPr="001122DB" w:rsidRDefault="00CE0FCD" w:rsidP="001122D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amortizálódó gépek cserékje, </w:t>
            </w:r>
            <w:r w:rsidR="001122DB"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>géppark fejlesztése, adatvé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de</w:t>
            </w:r>
            <w:r w:rsidR="001122DB"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>lmi szempontok figyelembe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="001122DB" w:rsidRPr="001122D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vételével </w:t>
            </w:r>
          </w:p>
        </w:tc>
      </w:tr>
    </w:tbl>
    <w:p w:rsidR="008979B3" w:rsidRDefault="008979B3" w:rsidP="008979B3">
      <w:pPr>
        <w:jc w:val="both"/>
        <w:rPr>
          <w:sz w:val="24"/>
          <w:szCs w:val="24"/>
        </w:rPr>
      </w:pPr>
    </w:p>
    <w:p w:rsidR="00CE0FCD" w:rsidRDefault="001721BF" w:rsidP="008979B3">
      <w:pPr>
        <w:jc w:val="both"/>
        <w:rPr>
          <w:sz w:val="24"/>
          <w:szCs w:val="24"/>
        </w:rPr>
      </w:pPr>
      <w:r>
        <w:rPr>
          <w:sz w:val="24"/>
          <w:szCs w:val="24"/>
        </w:rPr>
        <w:t>A többlet látszólagos, ugyanis a géppark fejlesztéséhez kapcsolódó 10 gép beszerzése nem történt meg, miközben a</w:t>
      </w:r>
      <w:r w:rsidR="00CE0FCD">
        <w:rPr>
          <w:sz w:val="24"/>
          <w:szCs w:val="24"/>
        </w:rPr>
        <w:t xml:space="preserve"> géppark folyamatos cseréje indokolt, illetve az adatvédelem miatt fokozatosan el kellene érni, hogy mindenki, aki különleges adatot kezel saját géppel (és ne osztott felülettel) rendelkezzen.</w:t>
      </w:r>
      <w:r>
        <w:rPr>
          <w:sz w:val="24"/>
          <w:szCs w:val="24"/>
        </w:rPr>
        <w:t xml:space="preserve"> Az óvodai, iskolai szociális munkások, akik 5-8 intézményben dolgoznak,</w:t>
      </w:r>
      <w:r w:rsidR="00E56FCA">
        <w:rPr>
          <w:sz w:val="24"/>
          <w:szCs w:val="24"/>
        </w:rPr>
        <w:t xml:space="preserve"> a kötelező nyilvántartáshoz és</w:t>
      </w:r>
      <w:r>
        <w:rPr>
          <w:sz w:val="24"/>
          <w:szCs w:val="24"/>
        </w:rPr>
        <w:t xml:space="preserve"> dokumentáláshoz tableteket terveztünk (adatvédelmi okokból, illetve az ütésálló laptopok meglehetősen drágák)</w:t>
      </w:r>
      <w:r w:rsidR="00E56FCA">
        <w:rPr>
          <w:sz w:val="24"/>
          <w:szCs w:val="24"/>
        </w:rPr>
        <w:t>. Az eddigi gyakorlatnak megfelelően a használt, de még jó állapotúgépek beszerzésével számoltunk.</w:t>
      </w: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80"/>
        <w:gridCol w:w="2800"/>
        <w:gridCol w:w="960"/>
        <w:gridCol w:w="700"/>
        <w:gridCol w:w="3700"/>
        <w:gridCol w:w="4689"/>
      </w:tblGrid>
      <w:tr w:rsidR="00CE0FCD" w:rsidRPr="00CE0FCD" w:rsidTr="00CE0FCD">
        <w:trPr>
          <w:trHeight w:val="2978"/>
        </w:trPr>
        <w:tc>
          <w:tcPr>
            <w:tcW w:w="1180" w:type="dxa"/>
            <w:noWrap/>
            <w:hideMark/>
          </w:tcPr>
          <w:p w:rsidR="00CE0FCD" w:rsidRPr="00CE0FCD" w:rsidRDefault="00CE0FCD" w:rsidP="00CE0FC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0FCD">
              <w:rPr>
                <w:rFonts w:ascii="Calibri" w:eastAsia="Times New Roman" w:hAnsi="Calibri" w:cs="Calibri"/>
                <w:color w:val="000000"/>
                <w:lang w:eastAsia="hu-HU"/>
              </w:rPr>
              <w:t>K640102</w:t>
            </w:r>
          </w:p>
        </w:tc>
        <w:tc>
          <w:tcPr>
            <w:tcW w:w="2800" w:type="dxa"/>
            <w:noWrap/>
            <w:hideMark/>
          </w:tcPr>
          <w:p w:rsidR="00CE0FCD" w:rsidRPr="00CE0FCD" w:rsidRDefault="00CE0FCD" w:rsidP="00CE0FC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0FCD">
              <w:rPr>
                <w:rFonts w:ascii="Calibri" w:eastAsia="Times New Roman" w:hAnsi="Calibri" w:cs="Calibri"/>
                <w:color w:val="000000"/>
                <w:lang w:eastAsia="hu-HU"/>
              </w:rPr>
              <w:t>Egyéb gépek, berend.</w:t>
            </w:r>
          </w:p>
        </w:tc>
        <w:tc>
          <w:tcPr>
            <w:tcW w:w="960" w:type="dxa"/>
            <w:noWrap/>
            <w:hideMark/>
          </w:tcPr>
          <w:p w:rsidR="00CE0FCD" w:rsidRPr="00CE0FCD" w:rsidRDefault="00E56FCA" w:rsidP="00CE0FCD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4175</w:t>
            </w:r>
          </w:p>
        </w:tc>
        <w:tc>
          <w:tcPr>
            <w:tcW w:w="700" w:type="dxa"/>
            <w:noWrap/>
            <w:hideMark/>
          </w:tcPr>
          <w:p w:rsidR="00CE0FCD" w:rsidRPr="00CE0FCD" w:rsidRDefault="00E56FCA" w:rsidP="00CE0FCD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6630</w:t>
            </w:r>
          </w:p>
        </w:tc>
        <w:tc>
          <w:tcPr>
            <w:tcW w:w="3700" w:type="dxa"/>
            <w:hideMark/>
          </w:tcPr>
          <w:p w:rsidR="00CE0FCD" w:rsidRPr="00CE0FCD" w:rsidRDefault="00E56FCA" w:rsidP="00CE0FC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FC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 db forgószék (600), </w:t>
            </w:r>
            <w:proofErr w:type="spellStart"/>
            <w:r w:rsidRPr="00E56FCA">
              <w:rPr>
                <w:rFonts w:ascii="Calibri" w:eastAsia="Times New Roman" w:hAnsi="Calibri" w:cs="Calibri"/>
                <w:color w:val="000000"/>
                <w:lang w:eastAsia="hu-HU"/>
              </w:rPr>
              <w:t>telefon+fax</w:t>
            </w:r>
            <w:proofErr w:type="spellEnd"/>
            <w:r w:rsidRPr="00E56FC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(150), 20 db íróasztal (800), 2db tárgyaló asztal(200), 12 db karosszék (360), 2db </w:t>
            </w:r>
            <w:proofErr w:type="spellStart"/>
            <w:r w:rsidRPr="00E56FCA">
              <w:rPr>
                <w:rFonts w:ascii="Calibri" w:eastAsia="Times New Roman" w:hAnsi="Calibri" w:cs="Calibri"/>
                <w:color w:val="000000"/>
                <w:lang w:eastAsia="hu-HU"/>
              </w:rPr>
              <w:t>hütőgép</w:t>
            </w:r>
            <w:proofErr w:type="spellEnd"/>
            <w:r w:rsidRPr="00E56FC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(180) 1db,mikro(25),  1db kávéfőző(40) 1db vízforraló(10),  2db akasztó kerekes(25), 1db állótükör(21) 2db ker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ékpártároló (52)  1db szennyfo</w:t>
            </w:r>
            <w:r w:rsidRPr="00E56FC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gószőnyeg,(12) 40db tárgyalószék(600) 2db Fogadópult(1200) 2db dohányzóasztal(45) 5db polcos konténer(300), 5db </w:t>
            </w:r>
            <w:proofErr w:type="spellStart"/>
            <w:r w:rsidRPr="00E56FCA">
              <w:rPr>
                <w:rFonts w:ascii="Calibri" w:eastAsia="Times New Roman" w:hAnsi="Calibri" w:cs="Calibri"/>
                <w:color w:val="000000"/>
                <w:lang w:eastAsia="hu-HU"/>
              </w:rPr>
              <w:t>sztg.asztal</w:t>
            </w:r>
            <w:proofErr w:type="spellEnd"/>
            <w:r w:rsidRPr="00E56FC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(250) 2db étkezőasztal.(60), 4db babzsákfotel(150)3db polc(90) 2db térelválasztó paraván(140) 2db szőnyeg(50) 2db zárható szekrény(270)                                                    </w:t>
            </w:r>
            <w:r w:rsidR="00DC0BE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3db klímaberendezés beszerz</w:t>
            </w:r>
            <w:r w:rsidRPr="00E56FCA">
              <w:rPr>
                <w:rFonts w:ascii="Calibri" w:eastAsia="Times New Roman" w:hAnsi="Calibri" w:cs="Calibri"/>
                <w:color w:val="000000"/>
                <w:lang w:eastAsia="hu-HU"/>
              </w:rPr>
              <w:t>ése(700)</w:t>
            </w:r>
          </w:p>
        </w:tc>
        <w:tc>
          <w:tcPr>
            <w:tcW w:w="4689" w:type="dxa"/>
            <w:hideMark/>
          </w:tcPr>
          <w:p w:rsidR="00CE0FCD" w:rsidRPr="00CE0FCD" w:rsidRDefault="00CE0FCD" w:rsidP="00CE0FC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0FCD">
              <w:rPr>
                <w:rFonts w:ascii="Calibri" w:eastAsia="Times New Roman" w:hAnsi="Calibri" w:cs="Calibri"/>
                <w:color w:val="000000"/>
                <w:lang w:eastAsia="hu-HU"/>
              </w:rPr>
              <w:t>az elmaradt berendezések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CE0FCD">
              <w:rPr>
                <w:rFonts w:ascii="Calibri" w:eastAsia="Times New Roman" w:hAnsi="Calibri" w:cs="Calibri"/>
                <w:color w:val="000000"/>
                <w:lang w:eastAsia="hu-HU"/>
              </w:rPr>
              <w:t>besz</w:t>
            </w:r>
            <w:r w:rsidR="00E56FCA">
              <w:rPr>
                <w:rFonts w:ascii="Calibri" w:eastAsia="Times New Roman" w:hAnsi="Calibri" w:cs="Calibri"/>
                <w:color w:val="000000"/>
                <w:lang w:eastAsia="hu-HU"/>
              </w:rPr>
              <w:t>erzése, az</w:t>
            </w:r>
            <w:r w:rsidRPr="00CE0F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amort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iz</w:t>
            </w:r>
            <w:r w:rsidRPr="00CE0FCD">
              <w:rPr>
                <w:rFonts w:ascii="Calibri" w:eastAsia="Times New Roman" w:hAnsi="Calibri" w:cs="Calibri"/>
                <w:color w:val="000000"/>
                <w:lang w:eastAsia="hu-HU"/>
              </w:rPr>
              <w:t>álódó bútorok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r w:rsidRPr="00CE0F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berendezések cseréje, </w:t>
            </w:r>
          </w:p>
        </w:tc>
      </w:tr>
    </w:tbl>
    <w:p w:rsidR="008979B3" w:rsidRDefault="008979B3" w:rsidP="008979B3">
      <w:pPr>
        <w:jc w:val="both"/>
        <w:rPr>
          <w:sz w:val="24"/>
          <w:szCs w:val="24"/>
        </w:rPr>
      </w:pPr>
    </w:p>
    <w:p w:rsidR="008F69A5" w:rsidRDefault="008F69A5" w:rsidP="008979B3">
      <w:pPr>
        <w:jc w:val="both"/>
        <w:rPr>
          <w:sz w:val="24"/>
          <w:szCs w:val="24"/>
        </w:rPr>
      </w:pPr>
      <w:r>
        <w:rPr>
          <w:sz w:val="24"/>
          <w:szCs w:val="24"/>
        </w:rPr>
        <w:t>A fenti, egyéb gépek, berendezések</w:t>
      </w:r>
      <w:r w:rsidR="00E56FCA">
        <w:rPr>
          <w:sz w:val="24"/>
          <w:szCs w:val="24"/>
        </w:rPr>
        <w:t xml:space="preserve"> rovaton az új telephely befejezése miatt a növekedés szintén látszólagos, ugyanis a Bolgárkertészt utcai telephelyre tervezett berendezések beszerzése a felújítás elmaradása miatt nem történt meg, valamint az emiatt túlhasznált főépület bútorait, berendezéseit túlhasználtuk</w:t>
      </w:r>
      <w:r w:rsidR="00DC0BEE">
        <w:rPr>
          <w:sz w:val="24"/>
          <w:szCs w:val="24"/>
        </w:rPr>
        <w:t xml:space="preserve">. Valós többletként jelentkezik a fogadópultok cseréje, amely egy jelentős beázás után súlyosan felázott és sérült, </w:t>
      </w:r>
      <w:r w:rsidR="00DC0BEE">
        <w:rPr>
          <w:sz w:val="24"/>
          <w:szCs w:val="24"/>
        </w:rPr>
        <w:lastRenderedPageBreak/>
        <w:t xml:space="preserve">továbbá, újabb helyiségekben lenne szükség klíma beszerzésére, mivel a </w:t>
      </w:r>
      <w:proofErr w:type="spellStart"/>
      <w:r w:rsidR="00DC0BEE">
        <w:rPr>
          <w:sz w:val="24"/>
          <w:szCs w:val="24"/>
        </w:rPr>
        <w:t>lapostetejű</w:t>
      </w:r>
      <w:proofErr w:type="spellEnd"/>
      <w:r w:rsidR="00DC0BEE">
        <w:rPr>
          <w:sz w:val="24"/>
          <w:szCs w:val="24"/>
        </w:rPr>
        <w:t xml:space="preserve"> épületben a hőmérséklet a nyári kánikulában elviselhetetlen mind az ügyfelek, de főképp a dolgozók számára.</w:t>
      </w: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80"/>
        <w:gridCol w:w="2800"/>
        <w:gridCol w:w="960"/>
        <w:gridCol w:w="700"/>
        <w:gridCol w:w="3700"/>
        <w:gridCol w:w="4689"/>
      </w:tblGrid>
      <w:tr w:rsidR="00DC0BEE" w:rsidRPr="008B2D4C" w:rsidTr="00DC0BEE">
        <w:trPr>
          <w:trHeight w:val="480"/>
        </w:trPr>
        <w:tc>
          <w:tcPr>
            <w:tcW w:w="1180" w:type="dxa"/>
            <w:noWrap/>
            <w:hideMark/>
          </w:tcPr>
          <w:p w:rsidR="00DC0BEE" w:rsidRPr="00DC0BEE" w:rsidRDefault="00DC0BEE" w:rsidP="00DC0BE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0BEE">
              <w:rPr>
                <w:rFonts w:ascii="Calibri" w:hAnsi="Calibri" w:cs="Calibri"/>
                <w:color w:val="000000"/>
                <w:sz w:val="24"/>
                <w:szCs w:val="24"/>
              </w:rPr>
              <w:t>K12308</w:t>
            </w:r>
          </w:p>
          <w:p w:rsidR="00DC0BEE" w:rsidRPr="00DC0BEE" w:rsidRDefault="00DC0BEE" w:rsidP="0044143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noWrap/>
            <w:hideMark/>
          </w:tcPr>
          <w:p w:rsidR="00DC0BEE" w:rsidRPr="00DC0BEE" w:rsidRDefault="00DC0BEE" w:rsidP="00DC0BE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0BEE">
              <w:rPr>
                <w:rFonts w:ascii="Calibri" w:hAnsi="Calibri" w:cs="Calibri"/>
                <w:color w:val="000000"/>
                <w:sz w:val="24"/>
                <w:szCs w:val="24"/>
              </w:rPr>
              <w:t>Reprezentációs kiadások</w:t>
            </w:r>
          </w:p>
          <w:p w:rsidR="00DC0BEE" w:rsidRPr="00DC0BEE" w:rsidRDefault="00DC0BEE" w:rsidP="0044143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DC0BEE" w:rsidRPr="008B2D4C" w:rsidRDefault="00DC0BEE" w:rsidP="00441434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700" w:type="dxa"/>
            <w:noWrap/>
            <w:hideMark/>
          </w:tcPr>
          <w:p w:rsidR="00DC0BEE" w:rsidRPr="008B2D4C" w:rsidRDefault="00DC0BEE" w:rsidP="00441434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400</w:t>
            </w:r>
          </w:p>
        </w:tc>
        <w:tc>
          <w:tcPr>
            <w:tcW w:w="3700" w:type="dxa"/>
            <w:hideMark/>
          </w:tcPr>
          <w:p w:rsidR="00DC0BEE" w:rsidRPr="00DC0BEE" w:rsidRDefault="00DC0BEE" w:rsidP="00DC0BE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0BEE">
              <w:rPr>
                <w:rFonts w:ascii="Calibri" w:hAnsi="Calibri" w:cs="Calibri"/>
                <w:color w:val="000000"/>
                <w:sz w:val="24"/>
                <w:szCs w:val="24"/>
              </w:rPr>
              <w:t>rendezvények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, szociális munka napja</w:t>
            </w:r>
          </w:p>
          <w:p w:rsidR="00DC0BEE" w:rsidRPr="00DC0BEE" w:rsidRDefault="00DC0BEE" w:rsidP="0044143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89" w:type="dxa"/>
            <w:hideMark/>
          </w:tcPr>
          <w:p w:rsidR="00DC0BEE" w:rsidRPr="008B2D4C" w:rsidRDefault="00DC0BEE" w:rsidP="0044143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a 3 telephely szükséglete szerint, valamint a Szociális munka napja</w:t>
            </w:r>
          </w:p>
        </w:tc>
      </w:tr>
    </w:tbl>
    <w:p w:rsidR="00DC0BEE" w:rsidRDefault="00DC0BEE" w:rsidP="008979B3">
      <w:pPr>
        <w:jc w:val="both"/>
        <w:rPr>
          <w:sz w:val="24"/>
          <w:szCs w:val="24"/>
        </w:rPr>
      </w:pPr>
      <w:r>
        <w:rPr>
          <w:sz w:val="24"/>
          <w:szCs w:val="24"/>
        </w:rPr>
        <w:t>Tervezünk egy országos konferenciát az óvodai, iskolai szociális munka bevezetésével kapcsolatos szakmai tapasztalatok megosztására</w:t>
      </w:r>
      <w:r w:rsidR="000A37D9">
        <w:rPr>
          <w:sz w:val="24"/>
          <w:szCs w:val="24"/>
        </w:rPr>
        <w:t>, illetve a Szociális Munka Napi rendezvény bár az Önkormányzat költségvetésében van, de az elmúlt években a ZCSK hozzájárulása nélkül nem lehetett volna megvalósítani.</w:t>
      </w: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80"/>
        <w:gridCol w:w="2799"/>
        <w:gridCol w:w="960"/>
        <w:gridCol w:w="703"/>
        <w:gridCol w:w="3699"/>
        <w:gridCol w:w="4688"/>
      </w:tblGrid>
      <w:tr w:rsidR="00C83AA6" w:rsidRPr="00C83AA6" w:rsidTr="00C83AA6">
        <w:trPr>
          <w:trHeight w:val="1489"/>
        </w:trPr>
        <w:tc>
          <w:tcPr>
            <w:tcW w:w="1180" w:type="dxa"/>
            <w:noWrap/>
            <w:hideMark/>
          </w:tcPr>
          <w:p w:rsidR="00C83AA6" w:rsidRPr="00C83AA6" w:rsidRDefault="00C83AA6" w:rsidP="00C83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C83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K32103</w:t>
            </w:r>
          </w:p>
        </w:tc>
        <w:tc>
          <w:tcPr>
            <w:tcW w:w="2800" w:type="dxa"/>
            <w:hideMark/>
          </w:tcPr>
          <w:p w:rsidR="00C83AA6" w:rsidRPr="00727A77" w:rsidRDefault="00C83AA6" w:rsidP="00C83AA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Informatikai eszközök, szolgáltatások bérlete,</w:t>
            </w:r>
            <w:r w:rsid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lizingelés</w:t>
            </w:r>
            <w:proofErr w:type="spellEnd"/>
          </w:p>
        </w:tc>
        <w:tc>
          <w:tcPr>
            <w:tcW w:w="960" w:type="dxa"/>
            <w:noWrap/>
            <w:hideMark/>
          </w:tcPr>
          <w:p w:rsidR="00C83AA6" w:rsidRPr="00727A77" w:rsidRDefault="00727A77" w:rsidP="00C83AA6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3270</w:t>
            </w:r>
          </w:p>
        </w:tc>
        <w:tc>
          <w:tcPr>
            <w:tcW w:w="700" w:type="dxa"/>
            <w:noWrap/>
            <w:hideMark/>
          </w:tcPr>
          <w:p w:rsidR="00C83AA6" w:rsidRPr="00727A77" w:rsidRDefault="00727A77" w:rsidP="00C83AA6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4430</w:t>
            </w:r>
          </w:p>
        </w:tc>
        <w:tc>
          <w:tcPr>
            <w:tcW w:w="3700" w:type="dxa"/>
            <w:hideMark/>
          </w:tcPr>
          <w:p w:rsidR="00C83AA6" w:rsidRPr="00727A77" w:rsidRDefault="00727A77" w:rsidP="00C83AA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nyilvántartó program(3350) 1db fénymásoló bérlése1*260, </w:t>
            </w:r>
            <w:proofErr w:type="spellStart"/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office</w:t>
            </w:r>
            <w:proofErr w:type="spellEnd"/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program 10*82(820)</w:t>
            </w:r>
          </w:p>
        </w:tc>
        <w:tc>
          <w:tcPr>
            <w:tcW w:w="4689" w:type="dxa"/>
            <w:hideMark/>
          </w:tcPr>
          <w:p w:rsidR="00C83AA6" w:rsidRPr="00727A77" w:rsidRDefault="00C83AA6" w:rsidP="00C83AA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új gépek telepítése az új státuszokhoz, magasabb adminisztrációs követelmények, a gazdaságos működéshez szükséges az elavult gépek kiváltása </w:t>
            </w:r>
          </w:p>
        </w:tc>
      </w:tr>
    </w:tbl>
    <w:p w:rsidR="00C83AA6" w:rsidRDefault="00126209" w:rsidP="00C83AA6">
      <w:pPr>
        <w:jc w:val="both"/>
        <w:rPr>
          <w:sz w:val="24"/>
          <w:szCs w:val="24"/>
        </w:rPr>
      </w:pPr>
      <w:r w:rsidRPr="008979B3">
        <w:rPr>
          <w:sz w:val="24"/>
          <w:szCs w:val="24"/>
        </w:rPr>
        <w:t xml:space="preserve">Az </w:t>
      </w:r>
      <w:r w:rsidR="00DC6384" w:rsidRPr="008979B3">
        <w:rPr>
          <w:sz w:val="24"/>
          <w:szCs w:val="24"/>
        </w:rPr>
        <w:t>elmúlt években a</w:t>
      </w:r>
      <w:r w:rsidR="00487959" w:rsidRPr="008979B3">
        <w:rPr>
          <w:sz w:val="24"/>
          <w:szCs w:val="24"/>
        </w:rPr>
        <w:t>z örökölt, más jogszabályi és szervezeti környezetnek megfelelő</w:t>
      </w:r>
      <w:r w:rsidR="00DC6384" w:rsidRPr="008979B3">
        <w:rPr>
          <w:sz w:val="24"/>
          <w:szCs w:val="24"/>
        </w:rPr>
        <w:t xml:space="preserve"> nyilvántartási</w:t>
      </w:r>
      <w:r w:rsidRPr="008979B3">
        <w:rPr>
          <w:sz w:val="24"/>
          <w:szCs w:val="24"/>
        </w:rPr>
        <w:t xml:space="preserve"> és iktatási programot kis átalakításokkal próbáltuk igazítani az elvárásokhoz</w:t>
      </w:r>
      <w:r w:rsidR="00DC6384" w:rsidRPr="008979B3">
        <w:rPr>
          <w:sz w:val="24"/>
          <w:szCs w:val="24"/>
        </w:rPr>
        <w:t xml:space="preserve">, ami mind a létszámnövekedés, mind a szervezeti átalakítás miatt mára </w:t>
      </w:r>
      <w:r w:rsidR="00DA04A1">
        <w:rPr>
          <w:sz w:val="24"/>
          <w:szCs w:val="24"/>
        </w:rPr>
        <w:t xml:space="preserve">időiigényessé és elavulttá vált. </w:t>
      </w:r>
      <w:r w:rsidR="00487959" w:rsidRPr="008979B3">
        <w:rPr>
          <w:sz w:val="24"/>
          <w:szCs w:val="24"/>
        </w:rPr>
        <w:t>S</w:t>
      </w:r>
      <w:r w:rsidR="00DC6384" w:rsidRPr="008979B3">
        <w:rPr>
          <w:sz w:val="24"/>
          <w:szCs w:val="24"/>
        </w:rPr>
        <w:t>zükséges</w:t>
      </w:r>
      <w:r w:rsidR="00487959" w:rsidRPr="008979B3">
        <w:rPr>
          <w:sz w:val="24"/>
          <w:szCs w:val="24"/>
        </w:rPr>
        <w:t xml:space="preserve"> ezért</w:t>
      </w:r>
      <w:r w:rsidR="00DC6384" w:rsidRPr="008979B3">
        <w:rPr>
          <w:sz w:val="24"/>
          <w:szCs w:val="24"/>
        </w:rPr>
        <w:t xml:space="preserve"> egy olyan programcsomag beszerzése, amely megfeleltethető az OSAP, KSH és NRSZH/KENYSZI elvárásainak, valamint képes az adományozásokhoz, különféle juttatásokhoz kapcso</w:t>
      </w:r>
      <w:r w:rsidR="00487959" w:rsidRPr="008979B3">
        <w:rPr>
          <w:sz w:val="24"/>
          <w:szCs w:val="24"/>
        </w:rPr>
        <w:t>lódó adatszűrésekhez, az igénybe vevők ellátását felügyelő folyamatba épített szakmai, szervezeti ellenőrzésekhez</w:t>
      </w:r>
      <w:r w:rsidR="00727A77">
        <w:rPr>
          <w:sz w:val="24"/>
          <w:szCs w:val="24"/>
        </w:rPr>
        <w:t>. A tavalyi évben a nagyteljesítményű</w:t>
      </w:r>
      <w:r w:rsidR="00C83AA6">
        <w:rPr>
          <w:sz w:val="24"/>
          <w:szCs w:val="24"/>
        </w:rPr>
        <w:t xml:space="preserve"> nyomtatók</w:t>
      </w:r>
      <w:r w:rsidR="00727A77">
        <w:rPr>
          <w:sz w:val="24"/>
          <w:szCs w:val="24"/>
        </w:rPr>
        <w:t xml:space="preserve"> és fénymásolók</w:t>
      </w:r>
      <w:r w:rsidR="00C83AA6">
        <w:rPr>
          <w:sz w:val="24"/>
          <w:szCs w:val="24"/>
        </w:rPr>
        <w:t xml:space="preserve"> </w:t>
      </w:r>
      <w:r w:rsidR="00727A77">
        <w:rPr>
          <w:sz w:val="24"/>
          <w:szCs w:val="24"/>
        </w:rPr>
        <w:t>vásárlása</w:t>
      </w:r>
      <w:r w:rsidR="00CB19AC">
        <w:rPr>
          <w:sz w:val="24"/>
          <w:szCs w:val="24"/>
        </w:rPr>
        <w:t xml:space="preserve"> helyett, bérléssel</w:t>
      </w:r>
      <w:r w:rsidR="00727A77">
        <w:rPr>
          <w:sz w:val="24"/>
          <w:szCs w:val="24"/>
        </w:rPr>
        <w:t xml:space="preserve"> kezdtük</w:t>
      </w:r>
      <w:r w:rsidR="00CB19AC">
        <w:rPr>
          <w:sz w:val="24"/>
          <w:szCs w:val="24"/>
        </w:rPr>
        <w:t xml:space="preserve"> kiváltani a</w:t>
      </w:r>
      <w:r w:rsidR="00727A77">
        <w:rPr>
          <w:sz w:val="24"/>
          <w:szCs w:val="24"/>
        </w:rPr>
        <w:t xml:space="preserve"> már javíthatatlan gépállományt. Idén 1 egy gépet akarunk bérléssel kiváltani, ami már az előző év tapasztalata alapján igazolhatóan </w:t>
      </w:r>
      <w:r w:rsidR="00CB19AC">
        <w:rPr>
          <w:sz w:val="24"/>
          <w:szCs w:val="24"/>
        </w:rPr>
        <w:t>olcsóbban lehet fenntartani, üzemeltetni.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3237"/>
        <w:gridCol w:w="832"/>
        <w:gridCol w:w="832"/>
        <w:gridCol w:w="4069"/>
        <w:gridCol w:w="3695"/>
      </w:tblGrid>
      <w:tr w:rsidR="001200B7" w:rsidRPr="00727A77" w:rsidTr="001200B7">
        <w:trPr>
          <w:trHeight w:val="659"/>
        </w:trPr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200B7" w:rsidRPr="00727A77" w:rsidRDefault="001200B7" w:rsidP="0072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K33601</w:t>
            </w:r>
          </w:p>
        </w:tc>
        <w:tc>
          <w:tcPr>
            <w:tcW w:w="3237" w:type="dxa"/>
            <w:shd w:val="clear" w:color="auto" w:fill="auto"/>
            <w:noWrap/>
            <w:vAlign w:val="bottom"/>
            <w:hideMark/>
          </w:tcPr>
          <w:p w:rsidR="001200B7" w:rsidRPr="00727A77" w:rsidRDefault="001200B7" w:rsidP="0072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Vásárolt közszolgáltatások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200B7" w:rsidRPr="00727A77" w:rsidRDefault="001200B7" w:rsidP="00727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1975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200B7" w:rsidRPr="00727A77" w:rsidRDefault="001200B7" w:rsidP="00727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2990</w:t>
            </w:r>
          </w:p>
        </w:tc>
        <w:tc>
          <w:tcPr>
            <w:tcW w:w="4069" w:type="dxa"/>
            <w:shd w:val="clear" w:color="000000" w:fill="FFFFFF"/>
            <w:vAlign w:val="bottom"/>
            <w:hideMark/>
          </w:tcPr>
          <w:p w:rsidR="001200B7" w:rsidRPr="00727A77" w:rsidRDefault="001200B7" w:rsidP="0072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szupervízió,(188*12500=2350),   szervezetfejlesztés(32*20000= 640)   </w:t>
            </w:r>
          </w:p>
        </w:tc>
        <w:tc>
          <w:tcPr>
            <w:tcW w:w="3695" w:type="dxa"/>
            <w:shd w:val="clear" w:color="auto" w:fill="auto"/>
            <w:vAlign w:val="bottom"/>
            <w:hideMark/>
          </w:tcPr>
          <w:p w:rsidR="001200B7" w:rsidRPr="00727A77" w:rsidRDefault="001200B7" w:rsidP="0072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7A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szervezetfejleszté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s, emelkedett létszám több csoport</w:t>
            </w:r>
          </w:p>
        </w:tc>
      </w:tr>
    </w:tbl>
    <w:p w:rsidR="0045296A" w:rsidRDefault="001200B7" w:rsidP="00C83A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szupervízió jogszabályban előírt feladat, a növekmény a létszámnövekedéshez kapcsolódik, illetve a szervezeti egységek együttműködési nehézségei miatt, szervezetfejlesztést terveztünk be. </w:t>
      </w:r>
    </w:p>
    <w:p w:rsidR="008E0441" w:rsidRDefault="001200B7" w:rsidP="00C83A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dologi kiadásoknál jellemzően kisebb nagyságrendű növekedéssel számoltunk, ami ered a létszám, és a tevékenységi területek (csoportok, iskolai szociális munkások programjai stb.) növekedése, a várható áremelkedések miatt. Továbbá kalkuláltuk, hogy remélhetően 2020-ban megoldódik az óvodai, iskolai szociális munka szolgáltatások telephely problémája, amit be kell rendezni és működtetni kell.</w:t>
      </w:r>
    </w:p>
    <w:p w:rsidR="00555EF0" w:rsidRPr="003E0153" w:rsidRDefault="00555EF0" w:rsidP="00CA0FA0">
      <w:pPr>
        <w:jc w:val="center"/>
        <w:rPr>
          <w:sz w:val="24"/>
          <w:szCs w:val="24"/>
        </w:rPr>
      </w:pPr>
      <w:r w:rsidRPr="003E0153">
        <w:rPr>
          <w:sz w:val="24"/>
          <w:szCs w:val="24"/>
        </w:rPr>
        <w:t>C.)</w:t>
      </w:r>
    </w:p>
    <w:p w:rsidR="00377459" w:rsidRPr="001200B7" w:rsidRDefault="00555EF0" w:rsidP="00977F49">
      <w:pPr>
        <w:jc w:val="center"/>
        <w:rPr>
          <w:b/>
          <w:i/>
          <w:sz w:val="24"/>
          <w:szCs w:val="24"/>
        </w:rPr>
      </w:pPr>
      <w:r w:rsidRPr="001200B7">
        <w:rPr>
          <w:b/>
          <w:i/>
          <w:sz w:val="24"/>
          <w:szCs w:val="24"/>
        </w:rPr>
        <w:t>Önként vállalt feladatok</w:t>
      </w:r>
    </w:p>
    <w:p w:rsidR="00377459" w:rsidRPr="003E0153" w:rsidRDefault="00377459" w:rsidP="00CA0FA0">
      <w:pPr>
        <w:pStyle w:val="Listaszerbekezds"/>
        <w:numPr>
          <w:ilvl w:val="0"/>
          <w:numId w:val="12"/>
        </w:numPr>
        <w:jc w:val="both"/>
        <w:rPr>
          <w:sz w:val="24"/>
          <w:szCs w:val="24"/>
        </w:rPr>
      </w:pPr>
      <w:r w:rsidRPr="003E0153">
        <w:rPr>
          <w:sz w:val="24"/>
          <w:szCs w:val="24"/>
        </w:rPr>
        <w:t>Munkaközvetítés</w:t>
      </w:r>
    </w:p>
    <w:p w:rsidR="00377459" w:rsidRPr="003E0153" w:rsidRDefault="00377459" w:rsidP="00CA0FA0">
      <w:pPr>
        <w:pStyle w:val="Listaszerbekezds"/>
        <w:jc w:val="both"/>
        <w:rPr>
          <w:sz w:val="24"/>
          <w:szCs w:val="24"/>
        </w:rPr>
      </w:pPr>
      <w:r w:rsidRPr="003E0153">
        <w:rPr>
          <w:sz w:val="24"/>
          <w:szCs w:val="24"/>
        </w:rPr>
        <w:t>A munkaközve</w:t>
      </w:r>
      <w:r w:rsidR="00455928">
        <w:rPr>
          <w:sz w:val="24"/>
          <w:szCs w:val="24"/>
        </w:rPr>
        <w:t>títés jelenleg 1 fő koordinátorral</w:t>
      </w:r>
      <w:r w:rsidRPr="003E0153">
        <w:rPr>
          <w:sz w:val="24"/>
          <w:szCs w:val="24"/>
        </w:rPr>
        <w:t xml:space="preserve"> látjuk el. A növekvő igények, a Zugló szociális rendelete alapján pénzbeli ell</w:t>
      </w:r>
      <w:r w:rsidR="00862C90">
        <w:rPr>
          <w:sz w:val="24"/>
          <w:szCs w:val="24"/>
        </w:rPr>
        <w:t>átásokra jogosult, és a Zuglói C</w:t>
      </w:r>
      <w:r w:rsidRPr="003E0153">
        <w:rPr>
          <w:sz w:val="24"/>
          <w:szCs w:val="24"/>
        </w:rPr>
        <w:t xml:space="preserve">salád- és Gyermekjóléti Központ szolgáltatásai igénybevételére kötelezett kliensek álláshoz való juttatása, valamint a növekvő munkaerő igény szükségessé teszi a munkaközvetítő kapacitásának növelését. </w:t>
      </w:r>
      <w:r w:rsidR="00862C90">
        <w:rPr>
          <w:sz w:val="24"/>
          <w:szCs w:val="24"/>
        </w:rPr>
        <w:t xml:space="preserve">Jelenleg </w:t>
      </w:r>
      <w:r w:rsidR="001200B7">
        <w:rPr>
          <w:sz w:val="24"/>
          <w:szCs w:val="24"/>
        </w:rPr>
        <w:t>116</w:t>
      </w:r>
      <w:r w:rsidR="00862C90">
        <w:rPr>
          <w:sz w:val="24"/>
          <w:szCs w:val="24"/>
        </w:rPr>
        <w:t xml:space="preserve"> nagy és közepes céggel, munkáltatóval állunk kapcsolatban, </w:t>
      </w:r>
      <w:r w:rsidR="001200B7">
        <w:rPr>
          <w:sz w:val="24"/>
          <w:szCs w:val="24"/>
        </w:rPr>
        <w:t>380</w:t>
      </w:r>
      <w:r w:rsidR="00862C90">
        <w:rPr>
          <w:sz w:val="24"/>
          <w:szCs w:val="24"/>
        </w:rPr>
        <w:t xml:space="preserve"> minimum jövedelmes</w:t>
      </w:r>
      <w:r w:rsidR="00455928">
        <w:rPr>
          <w:sz w:val="24"/>
          <w:szCs w:val="24"/>
        </w:rPr>
        <w:t>, mint potenciális álláskereső van a kapcsolatrendszerünkben, és 16 fővárosi kerülettel állunk kapcsolatban, annak érdekében, hogy a munkaerő-piaci kereslet és kínálat igényei szerint az igénybe vevőket a munkavállalásra képessé tegyük, a jelentkező keresletet kielégítsük. Az itt befektetett költségvetési források azonban megtérülnek, mivel a munkavállalással a pénzbeli ellátásokból kikerülhetnek az érintettek.</w:t>
      </w:r>
    </w:p>
    <w:p w:rsidR="00377459" w:rsidRPr="003E0153" w:rsidRDefault="00377459" w:rsidP="00CA0FA0">
      <w:pPr>
        <w:pStyle w:val="Listaszerbekezds"/>
        <w:numPr>
          <w:ilvl w:val="0"/>
          <w:numId w:val="12"/>
        </w:numPr>
        <w:jc w:val="both"/>
        <w:rPr>
          <w:sz w:val="24"/>
          <w:szCs w:val="24"/>
        </w:rPr>
      </w:pPr>
      <w:r w:rsidRPr="003E0153">
        <w:rPr>
          <w:sz w:val="24"/>
          <w:szCs w:val="24"/>
        </w:rPr>
        <w:t>„Tükörkép</w:t>
      </w:r>
      <w:r w:rsidR="00455928">
        <w:rPr>
          <w:sz w:val="24"/>
          <w:szCs w:val="24"/>
        </w:rPr>
        <w:t xml:space="preserve"> Műhely</w:t>
      </w:r>
      <w:r w:rsidRPr="003E0153">
        <w:rPr>
          <w:sz w:val="24"/>
          <w:szCs w:val="24"/>
        </w:rPr>
        <w:t xml:space="preserve">” </w:t>
      </w:r>
    </w:p>
    <w:p w:rsidR="00377459" w:rsidRPr="003E0153" w:rsidRDefault="00377459" w:rsidP="00CA0FA0">
      <w:pPr>
        <w:pStyle w:val="Listaszerbekezds"/>
        <w:jc w:val="both"/>
        <w:rPr>
          <w:sz w:val="24"/>
          <w:szCs w:val="24"/>
        </w:rPr>
      </w:pPr>
      <w:r w:rsidRPr="003E0153">
        <w:rPr>
          <w:sz w:val="24"/>
          <w:szCs w:val="24"/>
        </w:rPr>
        <w:t>A „Zuglói Szépségszalon” néven megszavazott, amúgy a munkavállalást elősegítő komplex szolgáltatás egyik elemének tekinthető szolgáltatás dologi jellegű kiadásai főképp a telephely</w:t>
      </w:r>
      <w:r w:rsidR="00BE661E" w:rsidRPr="003E0153">
        <w:rPr>
          <w:sz w:val="24"/>
          <w:szCs w:val="24"/>
        </w:rPr>
        <w:t xml:space="preserve"> fenntartását és működtetését érintő költségek </w:t>
      </w:r>
      <w:r w:rsidR="00E47CD9">
        <w:rPr>
          <w:sz w:val="24"/>
          <w:szCs w:val="24"/>
        </w:rPr>
        <w:t>jelentkeznek</w:t>
      </w:r>
    </w:p>
    <w:p w:rsidR="00BE661E" w:rsidRPr="003E0153" w:rsidRDefault="00BE661E" w:rsidP="00CA0FA0">
      <w:pPr>
        <w:pStyle w:val="Listaszerbekezds"/>
        <w:numPr>
          <w:ilvl w:val="0"/>
          <w:numId w:val="12"/>
        </w:numPr>
        <w:jc w:val="both"/>
        <w:rPr>
          <w:sz w:val="24"/>
          <w:szCs w:val="24"/>
        </w:rPr>
      </w:pPr>
      <w:r w:rsidRPr="003E0153">
        <w:rPr>
          <w:sz w:val="24"/>
          <w:szCs w:val="24"/>
        </w:rPr>
        <w:t>Egyéb pénzbeli juttatások</w:t>
      </w:r>
    </w:p>
    <w:p w:rsidR="00A659F1" w:rsidRPr="007F7215" w:rsidRDefault="00BE661E" w:rsidP="007F7215">
      <w:pPr>
        <w:pStyle w:val="Listaszerbekezds"/>
        <w:jc w:val="both"/>
        <w:rPr>
          <w:sz w:val="24"/>
          <w:szCs w:val="24"/>
        </w:rPr>
      </w:pPr>
      <w:r w:rsidRPr="003E0153">
        <w:rPr>
          <w:sz w:val="24"/>
          <w:szCs w:val="24"/>
        </w:rPr>
        <w:t>Krízis esetén ny</w:t>
      </w:r>
      <w:r w:rsidR="004510FD">
        <w:rPr>
          <w:sz w:val="24"/>
          <w:szCs w:val="24"/>
        </w:rPr>
        <w:t xml:space="preserve">újtott pénzbeli ellátások növelését nem tervezzük, viszont alternatív megoldáson gondolkodunk. A gyógyszerre, gyógyászati célú krízistámogatásra nagy szükség van, ami a rendelkezésre álló forrás nagyjából egyharmadát tesz ki. Az élelmiszerkrízis esetén viszont a tartós, csomagban összeállított élelmiszer hatékonyabbnak tűnik, mint a pénz. </w:t>
      </w:r>
      <w:r w:rsidR="006A5AF2">
        <w:rPr>
          <w:sz w:val="24"/>
          <w:szCs w:val="24"/>
        </w:rPr>
        <w:t>Másrészről be kellett vezetnünk a tüzelőanyag krízis</w:t>
      </w:r>
    </w:p>
    <w:p w:rsidR="00CA0FA0" w:rsidRPr="00CA0FA0" w:rsidRDefault="00CA0FA0" w:rsidP="00CA0FA0">
      <w:pPr>
        <w:pStyle w:val="Listaszerbekezds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Munkahelyi segély indokolt egyéni élethelyzeti krízisek, nagyobb jövedelemkiesést jelentő helyzetek, váratlan szükséges kiadások. Fenntartását jelenleg az indokolja, hogy a szociális területen dolgozók jövedelme az országos átlag alatt van, a dolgozó szegények csoportjához tartoznak. E juttatás fenntartása a munkaerő megtartásában játszik fontos szerepet (jelenleg a szociális ágazatot is elérte a munkaerőhiány, vagyis megtartani fontos, mert új kollégákat találni egyre nehezebb).</w:t>
      </w:r>
    </w:p>
    <w:p w:rsidR="00126209" w:rsidRPr="00626FA0" w:rsidRDefault="00126209" w:rsidP="00626FA0">
      <w:pPr>
        <w:rPr>
          <w:sz w:val="24"/>
          <w:szCs w:val="24"/>
        </w:rPr>
      </w:pPr>
    </w:p>
    <w:p w:rsidR="00A34E3F" w:rsidRPr="00626FA0" w:rsidRDefault="00487959" w:rsidP="00CA0FA0">
      <w:pPr>
        <w:jc w:val="center"/>
        <w:rPr>
          <w:b/>
          <w:i/>
          <w:sz w:val="24"/>
          <w:szCs w:val="24"/>
        </w:rPr>
      </w:pPr>
      <w:r w:rsidRPr="00626FA0">
        <w:rPr>
          <w:b/>
          <w:i/>
          <w:sz w:val="24"/>
          <w:szCs w:val="24"/>
        </w:rPr>
        <w:t>Egyéb költségvetés érintő várható fejlesztés</w:t>
      </w:r>
      <w:r w:rsidR="006A5AF2">
        <w:rPr>
          <w:b/>
          <w:i/>
          <w:sz w:val="24"/>
          <w:szCs w:val="24"/>
        </w:rPr>
        <w:t>i kiadások</w:t>
      </w:r>
    </w:p>
    <w:p w:rsidR="00A34E3F" w:rsidRPr="003E0153" w:rsidRDefault="00A34E3F" w:rsidP="00CA0FA0">
      <w:pPr>
        <w:pStyle w:val="Listaszerbekezds"/>
        <w:jc w:val="both"/>
        <w:rPr>
          <w:sz w:val="24"/>
          <w:szCs w:val="24"/>
        </w:rPr>
      </w:pPr>
    </w:p>
    <w:p w:rsidR="00F2446B" w:rsidRDefault="00F2446B" w:rsidP="00F2446B">
      <w:pPr>
        <w:pStyle w:val="Listaszerbekezds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F2446B">
        <w:rPr>
          <w:rFonts w:eastAsia="Times New Roman" w:cstheme="minorHAnsi"/>
          <w:color w:val="000000"/>
          <w:sz w:val="24"/>
          <w:szCs w:val="24"/>
          <w:lang w:eastAsia="hu-HU"/>
        </w:rPr>
        <w:t>Az 1997. évi XXXI. törvény „A gyermekek védelméről és a gyámügyi igazgatásról” 39. § (3.a) pontja, valamint a 40/A (</w:t>
      </w:r>
      <w:proofErr w:type="spellStart"/>
      <w:r w:rsidRPr="00F2446B">
        <w:rPr>
          <w:rFonts w:eastAsia="Times New Roman" w:cstheme="minorHAnsi"/>
          <w:color w:val="000000"/>
          <w:sz w:val="24"/>
          <w:szCs w:val="24"/>
          <w:lang w:eastAsia="hu-HU"/>
        </w:rPr>
        <w:t>ag</w:t>
      </w:r>
      <w:proofErr w:type="spellEnd"/>
      <w:r w:rsidRPr="00F2446B">
        <w:rPr>
          <w:rFonts w:eastAsia="Times New Roman" w:cstheme="minorHAnsi"/>
          <w:color w:val="000000"/>
          <w:sz w:val="24"/>
          <w:szCs w:val="24"/>
          <w:lang w:eastAsia="hu-HU"/>
        </w:rPr>
        <w:t xml:space="preserve">) pontja értelmében, valamint „A személyes gondoskodást nyújtó gyermekjóléti, gyermekvédelmi intézmények, valamint személyek szakmai feladatairól és működésük feltételeiről” szóló 15/1998. (IV. 30.) </w:t>
      </w:r>
      <w:r w:rsidRPr="00F2446B">
        <w:rPr>
          <w:rFonts w:cstheme="minorHAnsi"/>
          <w:color w:val="000000"/>
          <w:sz w:val="24"/>
          <w:szCs w:val="24"/>
        </w:rPr>
        <w:t xml:space="preserve">18 éves korosztályra vetítve 1 fő szakember </w:t>
      </w:r>
      <w:r w:rsidRPr="00F2446B">
        <w:rPr>
          <w:rFonts w:cstheme="minorHAnsi"/>
          <w:sz w:val="24"/>
          <w:szCs w:val="24"/>
        </w:rPr>
        <w:t>létszámmal kell ellátni. A kapott hivatalos adatok szerint Zuglóban a 2017/18-as (tan)évben 21 500 gyermek jár óvodába, iskolába. Az Oktatási Hivatal (lekérdezés dátuma: 2018. december 12.) új adatai szerint 22 900 gyermek rendelkezik jogviszonnyal a zuglói köznevelési intézményekben, azaz 1400 fővel többen járnak a 2018/19-es tanévben. A 2018. szeptemberétől az óvodai, iskolai szociális szolgáltatások előkészítése megkezdődött, amely eredményeként Zuglóban 21 körzetet alakítottunk ki, amelyeket jelenleg 12 fő lát el, 1 főt a meglévő státuszaink terhére csoportosítunk át</w:t>
      </w:r>
      <w:r w:rsidRPr="00F2446B">
        <w:rPr>
          <w:rFonts w:cstheme="minorHAnsi"/>
          <w:b/>
          <w:sz w:val="24"/>
          <w:szCs w:val="24"/>
        </w:rPr>
        <w:t>, azaz 8 fő státuszbővítés</w:t>
      </w:r>
      <w:r w:rsidRPr="00F2446B">
        <w:rPr>
          <w:rFonts w:cstheme="minorHAnsi"/>
          <w:sz w:val="24"/>
          <w:szCs w:val="24"/>
        </w:rPr>
        <w:t xml:space="preserve"> szükséges még a 21 körzet ellátásához</w:t>
      </w:r>
      <w:r w:rsidR="00AB2B6A">
        <w:rPr>
          <w:rFonts w:cstheme="minorHAnsi"/>
          <w:sz w:val="24"/>
          <w:szCs w:val="24"/>
        </w:rPr>
        <w:t>, amelyről eddig nem született képviselő-testületi döntés.</w:t>
      </w:r>
    </w:p>
    <w:p w:rsidR="00F2446B" w:rsidRPr="00F2446B" w:rsidRDefault="00F2446B" w:rsidP="00F2446B">
      <w:pPr>
        <w:pStyle w:val="Listaszerbekezds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F2446B">
        <w:rPr>
          <w:rFonts w:eastAsia="Times New Roman" w:cstheme="minorHAnsi"/>
          <w:color w:val="000000"/>
          <w:sz w:val="24"/>
          <w:szCs w:val="24"/>
          <w:lang w:eastAsia="hu-HU"/>
        </w:rPr>
        <w:t xml:space="preserve">NM rendelet értelmében 2018. szeptember 01. napjától a család és gyermekjóléti központ óvodai, iskolai szociális segítő munkát biztosít. </w:t>
      </w:r>
      <w:r w:rsidRPr="00F2446B">
        <w:rPr>
          <w:rFonts w:cstheme="minorHAnsi"/>
          <w:sz w:val="24"/>
          <w:szCs w:val="24"/>
        </w:rPr>
        <w:t xml:space="preserve">A </w:t>
      </w:r>
      <w:r w:rsidRPr="00F2446B">
        <w:rPr>
          <w:w w:val="125"/>
          <w:sz w:val="24"/>
          <w:szCs w:val="24"/>
        </w:rPr>
        <w:t>2018. évi CXVII. törvény 20. §</w:t>
      </w:r>
      <w:r w:rsidRPr="00F2446B">
        <w:rPr>
          <w:i/>
          <w:w w:val="125"/>
          <w:sz w:val="24"/>
          <w:szCs w:val="24"/>
        </w:rPr>
        <w:t xml:space="preserve"> </w:t>
      </w:r>
      <w:r w:rsidRPr="00F2446B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-a  iktatta be a Szt. 64/A fejezet, ami szerint a Gyvt. szerinti család- és gyermekjóléti központ szociális diagnózist készít</w:t>
      </w:r>
      <w:r w:rsidR="00AB2B6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</w:t>
      </w:r>
      <w:r w:rsidR="00AB2B6A" w:rsidRPr="00A7138E">
        <w:rPr>
          <w:rFonts w:cstheme="minorHAnsi"/>
          <w:sz w:val="24"/>
          <w:szCs w:val="24"/>
        </w:rPr>
        <w:t xml:space="preserve">Magyarország központi költségvetéséről szóló 2018. évi L. törvény a család- és gyermekjóléti központok finanszírozáshoz kapcsolódóan központonként </w:t>
      </w:r>
      <w:r w:rsidR="00AB2B6A" w:rsidRPr="00AB2B6A">
        <w:rPr>
          <w:rFonts w:cstheme="minorHAnsi"/>
          <w:b/>
          <w:bCs/>
          <w:sz w:val="24"/>
          <w:szCs w:val="24"/>
        </w:rPr>
        <w:t>1 fő szociális diagnózis felvételét végző esetmenedzsert</w:t>
      </w:r>
      <w:r w:rsidR="00AB2B6A" w:rsidRPr="00A7138E">
        <w:rPr>
          <w:rFonts w:cstheme="minorHAnsi"/>
          <w:sz w:val="24"/>
          <w:szCs w:val="24"/>
        </w:rPr>
        <w:t xml:space="preserve"> ad a számított személyi létszámhoz</w:t>
      </w:r>
      <w:r w:rsidR="00AB2B6A">
        <w:rPr>
          <w:rFonts w:cstheme="minorHAnsi"/>
          <w:sz w:val="24"/>
          <w:szCs w:val="24"/>
        </w:rPr>
        <w:t>, amelyről eddig nem született képviselő-testületi döntés.</w:t>
      </w:r>
    </w:p>
    <w:p w:rsidR="00C25D26" w:rsidRDefault="006A5AF2" w:rsidP="00C25D26">
      <w:pPr>
        <w:pStyle w:val="Listaszerbekezds"/>
        <w:jc w:val="both"/>
        <w:rPr>
          <w:sz w:val="24"/>
          <w:szCs w:val="24"/>
        </w:rPr>
      </w:pPr>
      <w:r w:rsidRPr="00F2446B">
        <w:rPr>
          <w:sz w:val="24"/>
          <w:szCs w:val="24"/>
        </w:rPr>
        <w:t xml:space="preserve">Az </w:t>
      </w:r>
      <w:r w:rsidRPr="007F7215">
        <w:rPr>
          <w:b/>
          <w:bCs/>
          <w:sz w:val="24"/>
          <w:szCs w:val="24"/>
        </w:rPr>
        <w:t xml:space="preserve">új </w:t>
      </w:r>
      <w:r w:rsidR="00560004" w:rsidRPr="007F7215">
        <w:rPr>
          <w:b/>
          <w:bCs/>
          <w:sz w:val="24"/>
          <w:szCs w:val="24"/>
        </w:rPr>
        <w:t>telephely használatba vételének csúszása miatt</w:t>
      </w:r>
      <w:r w:rsidR="001200B7" w:rsidRPr="007F7215">
        <w:rPr>
          <w:b/>
          <w:bCs/>
          <w:sz w:val="24"/>
          <w:szCs w:val="24"/>
        </w:rPr>
        <w:t>,</w:t>
      </w:r>
      <w:r w:rsidR="001200B7" w:rsidRPr="00F2446B">
        <w:rPr>
          <w:sz w:val="24"/>
          <w:szCs w:val="24"/>
        </w:rPr>
        <w:t xml:space="preserve"> a 2019</w:t>
      </w:r>
      <w:r w:rsidR="00C208D1" w:rsidRPr="00F2446B">
        <w:rPr>
          <w:sz w:val="24"/>
          <w:szCs w:val="24"/>
        </w:rPr>
        <w:t>. évre terveze</w:t>
      </w:r>
      <w:r w:rsidRPr="00F2446B">
        <w:rPr>
          <w:sz w:val="24"/>
          <w:szCs w:val="24"/>
        </w:rPr>
        <w:t>tt dologiakat nem tudtuk</w:t>
      </w:r>
      <w:r w:rsidR="00C208D1" w:rsidRPr="00F2446B">
        <w:rPr>
          <w:sz w:val="24"/>
          <w:szCs w:val="24"/>
        </w:rPr>
        <w:t xml:space="preserve"> felhasználni (a berendezési tárgyak, és egyéb eszközök beszerzése célzottan az új telephelyhez kapcsolódik. A</w:t>
      </w:r>
      <w:r w:rsidR="007F7215">
        <w:rPr>
          <w:sz w:val="24"/>
          <w:szCs w:val="24"/>
        </w:rPr>
        <w:t xml:space="preserve"> Bolgárkertész utca 13/</w:t>
      </w:r>
      <w:r w:rsidR="00E11FB0">
        <w:rPr>
          <w:sz w:val="24"/>
          <w:szCs w:val="24"/>
        </w:rPr>
        <w:t>E</w:t>
      </w:r>
      <w:r w:rsidR="007F7215">
        <w:rPr>
          <w:sz w:val="24"/>
          <w:szCs w:val="24"/>
        </w:rPr>
        <w:t xml:space="preserve"> címen található helyiségek</w:t>
      </w:r>
      <w:r w:rsidR="00FE33AA">
        <w:rPr>
          <w:sz w:val="24"/>
          <w:szCs w:val="24"/>
        </w:rPr>
        <w:t xml:space="preserve"> átadásáról</w:t>
      </w:r>
      <w:r w:rsidR="007F7215">
        <w:rPr>
          <w:sz w:val="24"/>
          <w:szCs w:val="24"/>
        </w:rPr>
        <w:t xml:space="preserve"> a képviselő-testület </w:t>
      </w:r>
      <w:r w:rsidR="00FE33AA">
        <w:rPr>
          <w:sz w:val="24"/>
          <w:szCs w:val="24"/>
        </w:rPr>
        <w:t xml:space="preserve">228/2018 (VI.14) </w:t>
      </w:r>
      <w:proofErr w:type="spellStart"/>
      <w:r w:rsidR="00FE33AA">
        <w:rPr>
          <w:sz w:val="24"/>
          <w:szCs w:val="24"/>
        </w:rPr>
        <w:t>Öh</w:t>
      </w:r>
      <w:proofErr w:type="spellEnd"/>
      <w:r w:rsidR="00FE33AA">
        <w:rPr>
          <w:sz w:val="24"/>
          <w:szCs w:val="24"/>
        </w:rPr>
        <w:t>. döntött, azonban a felújítás elmaradása miatt, a nevezett ingatlan nem került a ZCSK használatába</w:t>
      </w:r>
      <w:r w:rsidR="00C25D26">
        <w:rPr>
          <w:sz w:val="24"/>
          <w:szCs w:val="24"/>
        </w:rPr>
        <w:t xml:space="preserve">. </w:t>
      </w:r>
      <w:r w:rsidR="00C25D26">
        <w:rPr>
          <w:sz w:val="24"/>
          <w:szCs w:val="24"/>
        </w:rPr>
        <w:t xml:space="preserve">A Bolgárkertész utcai telephely sorsáról dönteni szükséges, vagy a felújításról, vagy más alkalmas telephely átadásáról, amely előfeltétele az óvodai, iskolai szociális munka szolgáltatásokban előírt létszám alkalmazásának. Ugyanis a Civil Ház átmenetileg befogadta az eddig felvett kollégákat, de a 15 fő nem fér el, a még hiányzó létszámot ezért ott elhelyezni nem </w:t>
      </w:r>
      <w:proofErr w:type="spellStart"/>
      <w:r w:rsidR="00C25D26">
        <w:rPr>
          <w:sz w:val="24"/>
          <w:szCs w:val="24"/>
        </w:rPr>
        <w:t>tudjuk.</w:t>
      </w:r>
      <w:proofErr w:type="spellEnd"/>
    </w:p>
    <w:p w:rsidR="00C25D26" w:rsidRDefault="00C25D26" w:rsidP="00C25D26">
      <w:pPr>
        <w:pStyle w:val="Listaszerbekezds"/>
        <w:jc w:val="both"/>
        <w:rPr>
          <w:sz w:val="24"/>
          <w:szCs w:val="24"/>
        </w:rPr>
      </w:pPr>
    </w:p>
    <w:p w:rsidR="006A5AF2" w:rsidRPr="00C25D26" w:rsidRDefault="00B310CC" w:rsidP="00C25D26">
      <w:pPr>
        <w:pStyle w:val="Listaszerbekezds"/>
        <w:numPr>
          <w:ilvl w:val="0"/>
          <w:numId w:val="15"/>
        </w:numPr>
        <w:jc w:val="both"/>
        <w:rPr>
          <w:sz w:val="24"/>
          <w:szCs w:val="24"/>
        </w:rPr>
      </w:pPr>
      <w:r w:rsidRPr="00C25D26">
        <w:rPr>
          <w:sz w:val="24"/>
          <w:szCs w:val="24"/>
        </w:rPr>
        <w:lastRenderedPageBreak/>
        <w:t>A Füredi parkban lévő főépület elhasználódott. Az épület tetőszigetelését többször javították, azonban 2019. évben 2 alkalommal súlyos beázások voltak (ami miatt padlóburkolatot kellett cserélni, illetve bútorok sérültek, valamint a fogadótér recepciós pultja, aminek beszerzését a ZCSK költségvetésébe terveztük, mert a csere nem történt meg.). Jelenleg a szerverszoba, illetve a személyi anyagok tárolására szolgáló helyiség ázik. Ellentmondásos véleményeket kaptunk a tető állapotáról (javítható, javítható, de a két szigetelő anyag kémiai hatásba lép egymással, ezért újabb beázások keletkeznek, nem javítható, a teljes szigetelés oldja meg a tető funkcióját), de az már az elmúlt évek váratlan beázásaiból látszik, hogy a tető komolyabb felújítást igényel. Hasonlóan rossz állapotban vannak a fa nyílászárók, kezdve a főbejárattól az</w:t>
      </w:r>
      <w:r w:rsidR="00E26D5B" w:rsidRPr="00C25D26">
        <w:rPr>
          <w:sz w:val="24"/>
          <w:szCs w:val="24"/>
        </w:rPr>
        <w:t xml:space="preserve"> ablakokig, ami miatt váratlanul használhatatlanok (</w:t>
      </w:r>
      <w:proofErr w:type="spellStart"/>
      <w:r w:rsidR="00E26D5B" w:rsidRPr="00C25D26">
        <w:rPr>
          <w:sz w:val="24"/>
          <w:szCs w:val="24"/>
        </w:rPr>
        <w:t>vetemendik</w:t>
      </w:r>
      <w:proofErr w:type="spellEnd"/>
      <w:r w:rsidR="00E26D5B" w:rsidRPr="00C25D26">
        <w:rPr>
          <w:sz w:val="24"/>
          <w:szCs w:val="24"/>
        </w:rPr>
        <w:t xml:space="preserve">, letörnek alkatrészek, nem lehet becsukni, egyes ablakokat be kellett szögelni a javításig). Az elmúlt 9 évben nem volt általános tisztasági festés. Az épületet övező </w:t>
      </w:r>
      <w:proofErr w:type="spellStart"/>
      <w:r w:rsidR="00E26D5B" w:rsidRPr="00C25D26">
        <w:rPr>
          <w:sz w:val="24"/>
          <w:szCs w:val="24"/>
        </w:rPr>
        <w:t>csúszámentes</w:t>
      </w:r>
      <w:proofErr w:type="spellEnd"/>
      <w:r w:rsidR="00E26D5B" w:rsidRPr="00C25D26">
        <w:rPr>
          <w:sz w:val="24"/>
          <w:szCs w:val="24"/>
        </w:rPr>
        <w:t xml:space="preserve"> betonnal fedett terasz burkolata töredezik. A radiátorok folyamatosan kilyukadtak, a legtöbb cseréje megtörtént, de még maradtak radiátorok, amelyeket várhatóan cserélni kell. Azaz megfelelő ütemezéssel, de a tetővel kezdve, folyamatosan újítani kellene az épületet. A fenti problémákat folyamatosan jeleztük a Vagyonkezelő zrt-</w:t>
      </w:r>
      <w:proofErr w:type="spellStart"/>
      <w:r w:rsidR="00E26D5B" w:rsidRPr="00C25D26">
        <w:rPr>
          <w:sz w:val="24"/>
          <w:szCs w:val="24"/>
        </w:rPr>
        <w:t>nek</w:t>
      </w:r>
      <w:proofErr w:type="spellEnd"/>
      <w:r w:rsidR="00E26D5B" w:rsidRPr="00C25D26">
        <w:rPr>
          <w:sz w:val="24"/>
          <w:szCs w:val="24"/>
        </w:rPr>
        <w:t>.</w:t>
      </w:r>
    </w:p>
    <w:p w:rsidR="00257BBC" w:rsidRPr="003E0153" w:rsidRDefault="00257BBC" w:rsidP="00CA0FA0">
      <w:pPr>
        <w:jc w:val="both"/>
        <w:rPr>
          <w:sz w:val="24"/>
          <w:szCs w:val="24"/>
        </w:rPr>
      </w:pPr>
      <w:bookmarkStart w:id="0" w:name="_GoBack"/>
      <w:bookmarkEnd w:id="0"/>
    </w:p>
    <w:p w:rsidR="00257BBC" w:rsidRPr="003E0153" w:rsidRDefault="00257BBC" w:rsidP="00CA0FA0">
      <w:pPr>
        <w:jc w:val="both"/>
        <w:rPr>
          <w:sz w:val="24"/>
          <w:szCs w:val="24"/>
        </w:rPr>
      </w:pPr>
      <w:r w:rsidRPr="003E0153">
        <w:rPr>
          <w:sz w:val="24"/>
          <w:szCs w:val="24"/>
        </w:rPr>
        <w:t>Budapest, 2</w:t>
      </w:r>
      <w:r w:rsidR="00487959">
        <w:rPr>
          <w:sz w:val="24"/>
          <w:szCs w:val="24"/>
        </w:rPr>
        <w:t>01</w:t>
      </w:r>
      <w:r w:rsidR="00B310CC">
        <w:rPr>
          <w:sz w:val="24"/>
          <w:szCs w:val="24"/>
        </w:rPr>
        <w:t>9</w:t>
      </w:r>
      <w:r w:rsidR="00487959">
        <w:rPr>
          <w:sz w:val="24"/>
          <w:szCs w:val="24"/>
        </w:rPr>
        <w:t xml:space="preserve">. </w:t>
      </w:r>
      <w:r w:rsidR="00642906">
        <w:rPr>
          <w:sz w:val="24"/>
          <w:szCs w:val="24"/>
        </w:rPr>
        <w:t>decembert</w:t>
      </w:r>
      <w:r w:rsidR="00B310CC">
        <w:rPr>
          <w:sz w:val="24"/>
          <w:szCs w:val="24"/>
        </w:rPr>
        <w:t xml:space="preserve"> 12</w:t>
      </w:r>
      <w:r w:rsidR="000671D3">
        <w:rPr>
          <w:sz w:val="24"/>
          <w:szCs w:val="24"/>
        </w:rPr>
        <w:t>.</w:t>
      </w:r>
    </w:p>
    <w:p w:rsidR="00257BBC" w:rsidRPr="003E0153" w:rsidRDefault="00257BBC" w:rsidP="00CA0FA0">
      <w:pPr>
        <w:jc w:val="both"/>
        <w:rPr>
          <w:sz w:val="24"/>
          <w:szCs w:val="24"/>
        </w:rPr>
      </w:pPr>
    </w:p>
    <w:p w:rsidR="00257BBC" w:rsidRPr="003E0153" w:rsidRDefault="00257BBC" w:rsidP="00CA0FA0">
      <w:pPr>
        <w:jc w:val="both"/>
        <w:rPr>
          <w:sz w:val="24"/>
          <w:szCs w:val="24"/>
        </w:rPr>
      </w:pPr>
    </w:p>
    <w:p w:rsidR="00257BBC" w:rsidRPr="003E0153" w:rsidRDefault="00257BBC" w:rsidP="00CA0FA0">
      <w:pPr>
        <w:jc w:val="right"/>
        <w:rPr>
          <w:sz w:val="24"/>
          <w:szCs w:val="24"/>
        </w:rPr>
      </w:pPr>
      <w:r w:rsidRPr="003E0153">
        <w:rPr>
          <w:sz w:val="24"/>
          <w:szCs w:val="24"/>
        </w:rPr>
        <w:tab/>
      </w:r>
      <w:r w:rsidRPr="003E0153">
        <w:rPr>
          <w:sz w:val="24"/>
          <w:szCs w:val="24"/>
        </w:rPr>
        <w:tab/>
      </w:r>
      <w:r w:rsidRPr="003E0153">
        <w:rPr>
          <w:sz w:val="24"/>
          <w:szCs w:val="24"/>
        </w:rPr>
        <w:tab/>
        <w:t>………………………………………………………………..</w:t>
      </w:r>
    </w:p>
    <w:p w:rsidR="00257BBC" w:rsidRPr="003E0153" w:rsidRDefault="00B513C7" w:rsidP="00B513C7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257BBC" w:rsidRPr="003E0153">
        <w:rPr>
          <w:sz w:val="24"/>
          <w:szCs w:val="24"/>
        </w:rPr>
        <w:t>Pataki Józsefné</w:t>
      </w:r>
    </w:p>
    <w:p w:rsidR="00257BBC" w:rsidRPr="003E0153" w:rsidRDefault="00B513C7" w:rsidP="00CA0FA0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257BBC" w:rsidRPr="003E0153">
        <w:rPr>
          <w:sz w:val="24"/>
          <w:szCs w:val="24"/>
        </w:rPr>
        <w:t>igazgató</w:t>
      </w:r>
    </w:p>
    <w:sectPr w:rsidR="00257BBC" w:rsidRPr="003E0153" w:rsidSect="00AB2B6A"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9A0" w:rsidRDefault="00E669A0" w:rsidP="00DA1B41">
      <w:pPr>
        <w:spacing w:after="0" w:line="240" w:lineRule="auto"/>
      </w:pPr>
      <w:r>
        <w:separator/>
      </w:r>
    </w:p>
  </w:endnote>
  <w:endnote w:type="continuationSeparator" w:id="0">
    <w:p w:rsidR="00E669A0" w:rsidRDefault="00E669A0" w:rsidP="00DA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473063"/>
      <w:docPartObj>
        <w:docPartGallery w:val="Page Numbers (Bottom of Page)"/>
        <w:docPartUnique/>
      </w:docPartObj>
    </w:sdtPr>
    <w:sdtEndPr/>
    <w:sdtContent>
      <w:p w:rsidR="00104F55" w:rsidRDefault="00B507B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B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4F55" w:rsidRDefault="00104F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9A0" w:rsidRDefault="00E669A0" w:rsidP="00DA1B41">
      <w:pPr>
        <w:spacing w:after="0" w:line="240" w:lineRule="auto"/>
      </w:pPr>
      <w:r>
        <w:separator/>
      </w:r>
    </w:p>
  </w:footnote>
  <w:footnote w:type="continuationSeparator" w:id="0">
    <w:p w:rsidR="00E669A0" w:rsidRDefault="00E669A0" w:rsidP="00DA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F55" w:rsidRPr="00550918" w:rsidRDefault="00104F55" w:rsidP="008819F5">
    <w:pPr>
      <w:spacing w:after="0"/>
      <w:ind w:left="2410"/>
      <w:rPr>
        <w:rFonts w:cs="David"/>
        <w:color w:val="A6A6A6" w:themeColor="background1" w:themeShade="A6"/>
        <w:sz w:val="24"/>
        <w:szCs w:val="24"/>
      </w:rPr>
    </w:pPr>
    <w:r w:rsidRPr="00DA1B41">
      <w:rPr>
        <w:rFonts w:cs="David"/>
        <w:b/>
        <w:noProof/>
        <w:color w:val="808080" w:themeColor="background1" w:themeShade="80"/>
        <w:sz w:val="32"/>
        <w:szCs w:val="32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-204470</wp:posOffset>
          </wp:positionV>
          <wp:extent cx="1220470" cy="866775"/>
          <wp:effectExtent l="0" t="0" r="0" b="9525"/>
          <wp:wrapSquare wrapText="bothSides"/>
          <wp:docPr id="1" name="Kép 1" descr="Clipboard01_gabi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board01_gabi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38462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3" t="-6934" r="60571"/>
                  <a:stretch/>
                </pic:blipFill>
                <pic:spPr bwMode="auto">
                  <a:xfrm>
                    <a:off x="0" y="0"/>
                    <a:ext cx="122047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A1B41">
      <w:rPr>
        <w:rFonts w:cs="David"/>
        <w:b/>
        <w:color w:val="808080" w:themeColor="background1" w:themeShade="80"/>
        <w:sz w:val="32"/>
        <w:szCs w:val="32"/>
      </w:rPr>
      <w:t>Zuglói Családsegítő és Gyermekjóléti Központ</w:t>
    </w:r>
    <w:r w:rsidRPr="00DA1B41">
      <w:rPr>
        <w:rFonts w:cs="David"/>
        <w:b/>
        <w:color w:val="808080" w:themeColor="background1" w:themeShade="80"/>
        <w:sz w:val="32"/>
        <w:szCs w:val="32"/>
      </w:rPr>
      <w:br/>
    </w:r>
    <w:r w:rsidRPr="00550918">
      <w:rPr>
        <w:rFonts w:cs="David"/>
        <w:color w:val="808080" w:themeColor="background1" w:themeShade="80"/>
        <w:sz w:val="24"/>
        <w:szCs w:val="24"/>
      </w:rPr>
      <w:t>1144 Budapest, Füredi park 6.</w:t>
    </w:r>
    <w:r>
      <w:rPr>
        <w:rFonts w:cs="David"/>
        <w:color w:val="808080" w:themeColor="background1" w:themeShade="80"/>
        <w:sz w:val="24"/>
        <w:szCs w:val="24"/>
      </w:rPr>
      <w:t xml:space="preserve">  Tel: 364 30 13</w:t>
    </w:r>
    <w:r w:rsidRPr="00550918">
      <w:rPr>
        <w:rFonts w:cs="David"/>
        <w:color w:val="808080" w:themeColor="background1" w:themeShade="80"/>
        <w:sz w:val="24"/>
        <w:szCs w:val="24"/>
      </w:rPr>
      <w:t>;</w:t>
    </w:r>
    <w:r>
      <w:rPr>
        <w:rFonts w:cs="David"/>
        <w:color w:val="808080" w:themeColor="background1" w:themeShade="80"/>
        <w:sz w:val="24"/>
        <w:szCs w:val="24"/>
      </w:rPr>
      <w:t xml:space="preserve"> </w:t>
    </w:r>
    <w:r w:rsidRPr="00550918">
      <w:rPr>
        <w:rFonts w:cs="David"/>
        <w:color w:val="808080" w:themeColor="background1" w:themeShade="80"/>
        <w:sz w:val="24"/>
        <w:szCs w:val="24"/>
      </w:rPr>
      <w:t xml:space="preserve">Fax: 220 03 91; </w:t>
    </w:r>
    <w:r>
      <w:rPr>
        <w:rFonts w:cs="David"/>
        <w:color w:val="808080" w:themeColor="background1" w:themeShade="80"/>
        <w:sz w:val="24"/>
        <w:szCs w:val="24"/>
      </w:rPr>
      <w:br/>
    </w:r>
    <w:r w:rsidRPr="00550918">
      <w:rPr>
        <w:rFonts w:cs="David"/>
        <w:color w:val="808080" w:themeColor="background1" w:themeShade="80"/>
        <w:sz w:val="24"/>
        <w:szCs w:val="24"/>
      </w:rPr>
      <w:t xml:space="preserve">Email: </w:t>
    </w:r>
    <w:hyperlink r:id="rId3" w:history="1">
      <w:r w:rsidRPr="00550918">
        <w:rPr>
          <w:rStyle w:val="Hiperhivatkozs"/>
          <w:rFonts w:cs="David"/>
          <w:color w:val="808080" w:themeColor="background1" w:themeShade="80"/>
          <w:sz w:val="24"/>
          <w:szCs w:val="24"/>
        </w:rPr>
        <w:t>zugloi.csaladsegito@chello.hu</w:t>
      </w:r>
    </w:hyperlink>
    <w:r w:rsidRPr="00550918">
      <w:rPr>
        <w:rFonts w:cs="David"/>
        <w:color w:val="808080" w:themeColor="background1" w:themeShade="80"/>
        <w:sz w:val="24"/>
        <w:szCs w:val="24"/>
      </w:rPr>
      <w:t xml:space="preserve">; Honlap: </w:t>
    </w:r>
    <w:hyperlink r:id="rId4" w:history="1">
      <w:r w:rsidRPr="00550918">
        <w:rPr>
          <w:rStyle w:val="Hiperhivatkozs"/>
          <w:rFonts w:cs="David"/>
          <w:color w:val="808080" w:themeColor="background1" w:themeShade="80"/>
          <w:sz w:val="24"/>
          <w:szCs w:val="24"/>
        </w:rPr>
        <w:t>www.zcsk.hu</w:t>
      </w:r>
    </w:hyperlink>
  </w:p>
  <w:p w:rsidR="00104F55" w:rsidRPr="00DA1B41" w:rsidRDefault="00104F55" w:rsidP="00DA1B41">
    <w:pPr>
      <w:rPr>
        <w:color w:val="808080" w:themeColor="background1" w:themeShade="80"/>
        <w:sz w:val="12"/>
        <w:szCs w:val="12"/>
      </w:rPr>
    </w:pPr>
    <w:r>
      <w:rPr>
        <w:color w:val="808080" w:themeColor="background1" w:themeShade="80"/>
        <w:sz w:val="12"/>
        <w:szCs w:val="12"/>
      </w:rPr>
      <w:t>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27DC"/>
    <w:multiLevelType w:val="hybridMultilevel"/>
    <w:tmpl w:val="951E2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48D8"/>
    <w:multiLevelType w:val="hybridMultilevel"/>
    <w:tmpl w:val="0E5C3C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914"/>
    <w:multiLevelType w:val="hybridMultilevel"/>
    <w:tmpl w:val="81121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8FB"/>
    <w:multiLevelType w:val="hybridMultilevel"/>
    <w:tmpl w:val="872ADE18"/>
    <w:lvl w:ilvl="0" w:tplc="D67E4CF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E5680"/>
    <w:multiLevelType w:val="hybridMultilevel"/>
    <w:tmpl w:val="1EA894C4"/>
    <w:lvl w:ilvl="0" w:tplc="609841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97719"/>
    <w:multiLevelType w:val="hybridMultilevel"/>
    <w:tmpl w:val="5AB68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1E3D"/>
    <w:multiLevelType w:val="hybridMultilevel"/>
    <w:tmpl w:val="C39CADDC"/>
    <w:lvl w:ilvl="0" w:tplc="C6E4D3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68B1"/>
    <w:multiLevelType w:val="hybridMultilevel"/>
    <w:tmpl w:val="1BC24AA8"/>
    <w:lvl w:ilvl="0" w:tplc="37FC2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D7A64"/>
    <w:multiLevelType w:val="hybridMultilevel"/>
    <w:tmpl w:val="B858C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51795"/>
    <w:multiLevelType w:val="hybridMultilevel"/>
    <w:tmpl w:val="B394BAB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F00B1A"/>
    <w:multiLevelType w:val="hybridMultilevel"/>
    <w:tmpl w:val="F4B8D1D0"/>
    <w:lvl w:ilvl="0" w:tplc="9B2C83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754A70"/>
    <w:multiLevelType w:val="hybridMultilevel"/>
    <w:tmpl w:val="E0B880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621CE"/>
    <w:multiLevelType w:val="hybridMultilevel"/>
    <w:tmpl w:val="4C26B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E3B3C"/>
    <w:multiLevelType w:val="hybridMultilevel"/>
    <w:tmpl w:val="630417EA"/>
    <w:lvl w:ilvl="0" w:tplc="37FC2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25609"/>
    <w:multiLevelType w:val="hybridMultilevel"/>
    <w:tmpl w:val="0E5C3C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3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14"/>
  </w:num>
  <w:num w:numId="12">
    <w:abstractNumId w:val="12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E"/>
    <w:rsid w:val="0000379A"/>
    <w:rsid w:val="00007B7B"/>
    <w:rsid w:val="000156F7"/>
    <w:rsid w:val="000615BF"/>
    <w:rsid w:val="000671D3"/>
    <w:rsid w:val="00072EB6"/>
    <w:rsid w:val="00095B6D"/>
    <w:rsid w:val="000A37D9"/>
    <w:rsid w:val="000D339A"/>
    <w:rsid w:val="000F5901"/>
    <w:rsid w:val="00104F55"/>
    <w:rsid w:val="001122DB"/>
    <w:rsid w:val="00113C39"/>
    <w:rsid w:val="00114ED7"/>
    <w:rsid w:val="001200B7"/>
    <w:rsid w:val="00121BA9"/>
    <w:rsid w:val="001252C1"/>
    <w:rsid w:val="00126209"/>
    <w:rsid w:val="00147BBD"/>
    <w:rsid w:val="001721BF"/>
    <w:rsid w:val="00176940"/>
    <w:rsid w:val="00183430"/>
    <w:rsid w:val="001924C9"/>
    <w:rsid w:val="0019555D"/>
    <w:rsid w:val="001A7396"/>
    <w:rsid w:val="001C52CD"/>
    <w:rsid w:val="001D7D7C"/>
    <w:rsid w:val="00204B41"/>
    <w:rsid w:val="00232632"/>
    <w:rsid w:val="002326F1"/>
    <w:rsid w:val="002401B0"/>
    <w:rsid w:val="002455E9"/>
    <w:rsid w:val="00257165"/>
    <w:rsid w:val="00257BBC"/>
    <w:rsid w:val="00260907"/>
    <w:rsid w:val="002650B9"/>
    <w:rsid w:val="00273C69"/>
    <w:rsid w:val="002A50D6"/>
    <w:rsid w:val="002A6332"/>
    <w:rsid w:val="002D6018"/>
    <w:rsid w:val="002F47DD"/>
    <w:rsid w:val="0030240C"/>
    <w:rsid w:val="00351DC7"/>
    <w:rsid w:val="003610AD"/>
    <w:rsid w:val="003619A7"/>
    <w:rsid w:val="00377459"/>
    <w:rsid w:val="003E0153"/>
    <w:rsid w:val="003E04C3"/>
    <w:rsid w:val="003F7A81"/>
    <w:rsid w:val="004250B4"/>
    <w:rsid w:val="0042736D"/>
    <w:rsid w:val="00430724"/>
    <w:rsid w:val="004510FD"/>
    <w:rsid w:val="0045296A"/>
    <w:rsid w:val="00455928"/>
    <w:rsid w:val="00475E24"/>
    <w:rsid w:val="0048497E"/>
    <w:rsid w:val="00487959"/>
    <w:rsid w:val="00496841"/>
    <w:rsid w:val="004C3A7E"/>
    <w:rsid w:val="004C7831"/>
    <w:rsid w:val="004F1ECE"/>
    <w:rsid w:val="00536A59"/>
    <w:rsid w:val="005379C1"/>
    <w:rsid w:val="005440ED"/>
    <w:rsid w:val="00546E8E"/>
    <w:rsid w:val="00550918"/>
    <w:rsid w:val="00555EF0"/>
    <w:rsid w:val="00560004"/>
    <w:rsid w:val="00584D70"/>
    <w:rsid w:val="0058535D"/>
    <w:rsid w:val="005B5699"/>
    <w:rsid w:val="005C0A9A"/>
    <w:rsid w:val="005C4744"/>
    <w:rsid w:val="005D38EE"/>
    <w:rsid w:val="005D40E0"/>
    <w:rsid w:val="005F2100"/>
    <w:rsid w:val="00626FA0"/>
    <w:rsid w:val="00642906"/>
    <w:rsid w:val="00646ED8"/>
    <w:rsid w:val="00666D78"/>
    <w:rsid w:val="00671D43"/>
    <w:rsid w:val="00677105"/>
    <w:rsid w:val="00695D7C"/>
    <w:rsid w:val="006A5AF2"/>
    <w:rsid w:val="006E0E69"/>
    <w:rsid w:val="00711B8F"/>
    <w:rsid w:val="00727A77"/>
    <w:rsid w:val="00731321"/>
    <w:rsid w:val="00752538"/>
    <w:rsid w:val="00760EBD"/>
    <w:rsid w:val="00777397"/>
    <w:rsid w:val="007778C0"/>
    <w:rsid w:val="0078488B"/>
    <w:rsid w:val="00785A2E"/>
    <w:rsid w:val="0079688A"/>
    <w:rsid w:val="007A2953"/>
    <w:rsid w:val="007B3048"/>
    <w:rsid w:val="007D1447"/>
    <w:rsid w:val="007E61C7"/>
    <w:rsid w:val="007F7215"/>
    <w:rsid w:val="00807DAB"/>
    <w:rsid w:val="00812BC4"/>
    <w:rsid w:val="00817D47"/>
    <w:rsid w:val="00820BF4"/>
    <w:rsid w:val="00824ABA"/>
    <w:rsid w:val="00862C90"/>
    <w:rsid w:val="00867678"/>
    <w:rsid w:val="008710C8"/>
    <w:rsid w:val="00874269"/>
    <w:rsid w:val="008819F5"/>
    <w:rsid w:val="008979B3"/>
    <w:rsid w:val="008A161B"/>
    <w:rsid w:val="008A41D0"/>
    <w:rsid w:val="008B2D4C"/>
    <w:rsid w:val="008C39CD"/>
    <w:rsid w:val="008E0441"/>
    <w:rsid w:val="008E2619"/>
    <w:rsid w:val="008F69A5"/>
    <w:rsid w:val="00915461"/>
    <w:rsid w:val="009154D9"/>
    <w:rsid w:val="0092078E"/>
    <w:rsid w:val="009464B6"/>
    <w:rsid w:val="00952789"/>
    <w:rsid w:val="009718CA"/>
    <w:rsid w:val="0097274A"/>
    <w:rsid w:val="009776FE"/>
    <w:rsid w:val="00977F49"/>
    <w:rsid w:val="009B259C"/>
    <w:rsid w:val="009C03BE"/>
    <w:rsid w:val="009C7FBB"/>
    <w:rsid w:val="009E2BDB"/>
    <w:rsid w:val="009E6A0F"/>
    <w:rsid w:val="009E7E9B"/>
    <w:rsid w:val="00A112A6"/>
    <w:rsid w:val="00A226C0"/>
    <w:rsid w:val="00A34E3F"/>
    <w:rsid w:val="00A464A7"/>
    <w:rsid w:val="00A659F1"/>
    <w:rsid w:val="00A92A6F"/>
    <w:rsid w:val="00AB2B6A"/>
    <w:rsid w:val="00B02E39"/>
    <w:rsid w:val="00B048D0"/>
    <w:rsid w:val="00B12AE0"/>
    <w:rsid w:val="00B310CC"/>
    <w:rsid w:val="00B35B69"/>
    <w:rsid w:val="00B507BE"/>
    <w:rsid w:val="00B513C7"/>
    <w:rsid w:val="00B70CEB"/>
    <w:rsid w:val="00B83133"/>
    <w:rsid w:val="00B872A4"/>
    <w:rsid w:val="00BB3537"/>
    <w:rsid w:val="00BC785C"/>
    <w:rsid w:val="00BC7EE8"/>
    <w:rsid w:val="00BE661E"/>
    <w:rsid w:val="00BF1DDF"/>
    <w:rsid w:val="00BF5057"/>
    <w:rsid w:val="00C06BA0"/>
    <w:rsid w:val="00C1000C"/>
    <w:rsid w:val="00C208D1"/>
    <w:rsid w:val="00C25D26"/>
    <w:rsid w:val="00C3216D"/>
    <w:rsid w:val="00C44A45"/>
    <w:rsid w:val="00C641AC"/>
    <w:rsid w:val="00C76E75"/>
    <w:rsid w:val="00C83AA6"/>
    <w:rsid w:val="00C83B55"/>
    <w:rsid w:val="00CA0FA0"/>
    <w:rsid w:val="00CB19AC"/>
    <w:rsid w:val="00CB6C48"/>
    <w:rsid w:val="00CB76AC"/>
    <w:rsid w:val="00CC7EE1"/>
    <w:rsid w:val="00CD7210"/>
    <w:rsid w:val="00CE0FCD"/>
    <w:rsid w:val="00CE380A"/>
    <w:rsid w:val="00D02DEB"/>
    <w:rsid w:val="00D10F73"/>
    <w:rsid w:val="00D11E38"/>
    <w:rsid w:val="00D20042"/>
    <w:rsid w:val="00D24D17"/>
    <w:rsid w:val="00D353D1"/>
    <w:rsid w:val="00D354C4"/>
    <w:rsid w:val="00D559CB"/>
    <w:rsid w:val="00D5630A"/>
    <w:rsid w:val="00D60657"/>
    <w:rsid w:val="00D6659D"/>
    <w:rsid w:val="00D800CE"/>
    <w:rsid w:val="00D803FF"/>
    <w:rsid w:val="00DA04A1"/>
    <w:rsid w:val="00DA1B41"/>
    <w:rsid w:val="00DA7CC1"/>
    <w:rsid w:val="00DA7E0E"/>
    <w:rsid w:val="00DB241B"/>
    <w:rsid w:val="00DC0BEE"/>
    <w:rsid w:val="00DC6384"/>
    <w:rsid w:val="00DC7337"/>
    <w:rsid w:val="00DD5767"/>
    <w:rsid w:val="00DE2ED8"/>
    <w:rsid w:val="00DE4D6A"/>
    <w:rsid w:val="00E11FB0"/>
    <w:rsid w:val="00E2162D"/>
    <w:rsid w:val="00E26D5B"/>
    <w:rsid w:val="00E33F8B"/>
    <w:rsid w:val="00E47CD9"/>
    <w:rsid w:val="00E54C21"/>
    <w:rsid w:val="00E54CA4"/>
    <w:rsid w:val="00E56FCA"/>
    <w:rsid w:val="00E657D2"/>
    <w:rsid w:val="00E669A0"/>
    <w:rsid w:val="00E91212"/>
    <w:rsid w:val="00EA799B"/>
    <w:rsid w:val="00EC2920"/>
    <w:rsid w:val="00EE420B"/>
    <w:rsid w:val="00EF5A0C"/>
    <w:rsid w:val="00F1372F"/>
    <w:rsid w:val="00F2446B"/>
    <w:rsid w:val="00F417D5"/>
    <w:rsid w:val="00F95718"/>
    <w:rsid w:val="00FB65BB"/>
    <w:rsid w:val="00FD2F6E"/>
    <w:rsid w:val="00FE1E92"/>
    <w:rsid w:val="00FE33AA"/>
    <w:rsid w:val="00FE5BF3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FFDF5"/>
  <w15:docId w15:val="{D2652435-979F-4422-AD6B-99CCD472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A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D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5091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A1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1B41"/>
  </w:style>
  <w:style w:type="paragraph" w:styleId="llb">
    <w:name w:val="footer"/>
    <w:basedOn w:val="Norml"/>
    <w:link w:val="llbChar"/>
    <w:uiPriority w:val="99"/>
    <w:unhideWhenUsed/>
    <w:rsid w:val="00DA1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1B41"/>
  </w:style>
  <w:style w:type="paragraph" w:styleId="Listaszerbekezds">
    <w:name w:val="List Paragraph"/>
    <w:basedOn w:val="Norml"/>
    <w:uiPriority w:val="34"/>
    <w:qFormat/>
    <w:rsid w:val="00CB6C48"/>
    <w:pPr>
      <w:ind w:left="720"/>
      <w:contextualSpacing/>
    </w:pPr>
  </w:style>
  <w:style w:type="character" w:customStyle="1" w:styleId="structbekezdesszam">
    <w:name w:val="struct_bekezdesszam"/>
    <w:rsid w:val="005B5699"/>
  </w:style>
  <w:style w:type="character" w:styleId="Kiemels2">
    <w:name w:val="Strong"/>
    <w:basedOn w:val="Bekezdsalapbettpusa"/>
    <w:uiPriority w:val="22"/>
    <w:qFormat/>
    <w:rsid w:val="00C1000C"/>
    <w:rPr>
      <w:b/>
      <w:bCs/>
    </w:rPr>
  </w:style>
  <w:style w:type="table" w:styleId="Tblzategyszer3">
    <w:name w:val="Plain Table 3"/>
    <w:basedOn w:val="Normltblzat"/>
    <w:uiPriority w:val="43"/>
    <w:rsid w:val="00D11E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csostblzat">
    <w:name w:val="Table Grid"/>
    <w:basedOn w:val="Normltblzat"/>
    <w:uiPriority w:val="59"/>
    <w:rsid w:val="00D1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ugloi.csaladsegito@chello.hu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zcs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ADAF-ED12-4D94-84E4-F1582DB5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2292</Words>
  <Characters>15821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Ambrus Zsuzsa</dc:creator>
  <cp:lastModifiedBy>Pataki Józsefné</cp:lastModifiedBy>
  <cp:revision>10</cp:revision>
  <cp:lastPrinted>2016-12-16T10:07:00Z</cp:lastPrinted>
  <dcterms:created xsi:type="dcterms:W3CDTF">2019-12-12T13:12:00Z</dcterms:created>
  <dcterms:modified xsi:type="dcterms:W3CDTF">2019-12-13T10:04:00Z</dcterms:modified>
</cp:coreProperties>
</file>