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 xml:space="preserve">Budapest Főváros XIV. kerület Zugló Önkormányzat </w:t>
      </w:r>
      <w:proofErr w:type="gramStart"/>
      <w:r w:rsidRPr="00665D3A">
        <w:rPr>
          <w:rFonts w:ascii="Times New Roman" w:hAnsi="Times New Roman" w:cs="Times New Roman"/>
        </w:rPr>
        <w:t>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2704A3" w:rsidRPr="00420E22">
        <w:rPr>
          <w:rFonts w:ascii="Times New Roman" w:hAnsi="Times New Roman" w:cs="Times New Roman"/>
        </w:rPr>
        <w:t>.</w:t>
      </w:r>
      <w:proofErr w:type="gramEnd"/>
      <w:r w:rsidR="002704A3" w:rsidRPr="00420E22">
        <w:rPr>
          <w:rFonts w:ascii="Times New Roman" w:hAnsi="Times New Roman" w:cs="Times New Roman"/>
        </w:rPr>
        <w:t>.…</w:t>
      </w:r>
      <w:r w:rsidR="00820E70" w:rsidRPr="00420E22">
        <w:rPr>
          <w:rFonts w:ascii="Times New Roman" w:hAnsi="Times New Roman" w:cs="Times New Roman"/>
        </w:rPr>
        <w:t>…</w:t>
      </w:r>
      <w:r w:rsidRPr="00420E22">
        <w:rPr>
          <w:rFonts w:ascii="Times New Roman" w:hAnsi="Times New Roman" w:cs="Times New Roman"/>
        </w:rPr>
        <w:t>/201</w:t>
      </w:r>
      <w:r w:rsidR="00916C3B" w:rsidRPr="00420E22">
        <w:rPr>
          <w:rFonts w:ascii="Times New Roman" w:hAnsi="Times New Roman" w:cs="Times New Roman"/>
        </w:rPr>
        <w:t>8</w:t>
      </w:r>
      <w:r w:rsidRPr="00420E22">
        <w:rPr>
          <w:rFonts w:ascii="Times New Roman" w:hAnsi="Times New Roman" w:cs="Times New Roman"/>
        </w:rPr>
        <w:t>.(</w:t>
      </w:r>
      <w:r w:rsidR="00502482" w:rsidRPr="00420E22">
        <w:rPr>
          <w:rFonts w:ascii="Times New Roman" w:hAnsi="Times New Roman" w:cs="Times New Roman"/>
        </w:rPr>
        <w:t>XII.13</w:t>
      </w:r>
      <w:r w:rsidR="00582C3C" w:rsidRPr="00420E22">
        <w:rPr>
          <w:rFonts w:ascii="Times New Roman" w:hAnsi="Times New Roman" w:cs="Times New Roman"/>
        </w:rPr>
        <w:t>.</w:t>
      </w:r>
      <w:r w:rsidRPr="00420E22">
        <w:rPr>
          <w:rFonts w:ascii="Times New Roman" w:hAnsi="Times New Roman" w:cs="Times New Roman"/>
        </w:rPr>
        <w:t>)</w:t>
      </w:r>
      <w:r w:rsidR="00916C3B" w:rsidRPr="00420E22">
        <w:rPr>
          <w:rFonts w:ascii="Times New Roman" w:hAnsi="Times New Roman" w:cs="Times New Roman"/>
        </w:rPr>
        <w:t>Öh.</w:t>
      </w:r>
      <w:r w:rsidRPr="00420E22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231670">
        <w:rPr>
          <w:rFonts w:ascii="Times New Roman" w:eastAsia="Times New Roman" w:hAnsi="Times New Roman" w:cs="Times New Roman"/>
          <w:color w:val="000000" w:themeColor="text1"/>
          <w:lang w:eastAsia="hu-HU"/>
        </w:rPr>
        <w:t>, gazdasági épület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Budapest, XIV. kerület </w:t>
      </w:r>
      <w:r w:rsidR="003A27B1" w:rsidRPr="003A27B1">
        <w:rPr>
          <w:rFonts w:ascii="Times New Roman" w:eastAsia="Times New Roman" w:hAnsi="Times New Roman" w:cs="Times New Roman"/>
          <w:color w:val="000000" w:themeColor="text1"/>
          <w:lang w:eastAsia="hu-HU"/>
        </w:rPr>
        <w:t>Benkő utca 2. (Nagy Lajos király útja 111/A-B.)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számú ingatlan bontási kötelezettség melletti 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192E67" w:rsidRPr="00665D3A" w:rsidTr="00182FB2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192E67" w:rsidRPr="00665D3A" w:rsidRDefault="003A27B1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3A27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Benkő utca 2. (Nagy Lajos király útja 111/A-B.)</w:t>
            </w:r>
          </w:p>
        </w:tc>
      </w:tr>
      <w:tr w:rsidR="00192E67" w:rsidRPr="00665D3A" w:rsidTr="00413224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192E67" w:rsidRPr="00665D3A" w:rsidRDefault="00192E67" w:rsidP="00192E6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3148</w:t>
            </w:r>
            <w:r w:rsidR="003A27B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/</w:t>
            </w:r>
            <w:r w:rsidR="003A27B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9</w:t>
            </w:r>
          </w:p>
        </w:tc>
      </w:tr>
      <w:tr w:rsidR="00192E67" w:rsidRPr="00665D3A" w:rsidTr="00C528C0">
        <w:tc>
          <w:tcPr>
            <w:tcW w:w="1848" w:type="dxa"/>
          </w:tcPr>
          <w:p w:rsidR="00192E67" w:rsidRPr="00665D3A" w:rsidRDefault="00192E6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192E67" w:rsidRPr="00665D3A" w:rsidRDefault="003A27B1" w:rsidP="00192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1027</w:t>
            </w:r>
            <w:r w:rsidR="00192E67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1E0EF3" w:rsidRDefault="003A27B1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108</w:t>
            </w:r>
            <w:r w:rsidR="00582C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 w:rsidR="00192E6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</w:t>
            </w:r>
            <w:r w:rsidR="00582C3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F14069" w:rsidRDefault="0050248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2018. december 17 – 2019. január 21.</w:t>
      </w:r>
      <w:r w:rsidR="00582C3C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12:00</w:t>
      </w:r>
      <w:r w:rsidR="00EA4672"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F14069">
        <w:rPr>
          <w:rFonts w:ascii="Times New Roman" w:hAnsi="Times New Roman" w:cs="Times New Roman"/>
          <w:b/>
        </w:rPr>
        <w:t>A pályázat 201</w:t>
      </w:r>
      <w:r w:rsidR="00A22CE9" w:rsidRPr="00F14069">
        <w:rPr>
          <w:rFonts w:ascii="Times New Roman" w:hAnsi="Times New Roman" w:cs="Times New Roman"/>
          <w:b/>
        </w:rPr>
        <w:t>9</w:t>
      </w:r>
      <w:r w:rsidRPr="00F14069">
        <w:rPr>
          <w:rFonts w:ascii="Times New Roman" w:hAnsi="Times New Roman" w:cs="Times New Roman"/>
          <w:b/>
        </w:rPr>
        <w:t xml:space="preserve">. </w:t>
      </w:r>
      <w:r w:rsidR="00A22CE9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6A16C5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502482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Pr="00F14069">
        <w:rPr>
          <w:rFonts w:ascii="Times New Roman" w:hAnsi="Times New Roman" w:cs="Times New Roman"/>
          <w:b/>
        </w:rPr>
        <w:t>-</w:t>
      </w:r>
      <w:r w:rsidR="00A22CE9" w:rsidRPr="00F14069">
        <w:rPr>
          <w:rFonts w:ascii="Times New Roman" w:hAnsi="Times New Roman" w:cs="Times New Roman"/>
          <w:b/>
        </w:rPr>
        <w:t>é</w:t>
      </w:r>
      <w:r w:rsidRPr="00F14069">
        <w:rPr>
          <w:rFonts w:ascii="Times New Roman" w:hAnsi="Times New Roman" w:cs="Times New Roman"/>
          <w:b/>
        </w:rPr>
        <w:t>n 1</w:t>
      </w:r>
      <w:r w:rsidR="00582C3C" w:rsidRPr="00F14069">
        <w:rPr>
          <w:rFonts w:ascii="Times New Roman" w:hAnsi="Times New Roman" w:cs="Times New Roman"/>
          <w:b/>
        </w:rPr>
        <w:t>2</w:t>
      </w:r>
      <w:r w:rsidRPr="00F14069">
        <w:rPr>
          <w:rFonts w:ascii="Times New Roman" w:hAnsi="Times New Roman" w:cs="Times New Roman"/>
          <w:b/>
        </w:rPr>
        <w:t xml:space="preserve">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8C617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192E6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3148</w:t>
      </w:r>
      <w:r w:rsidR="003A27B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</w:t>
      </w:r>
      <w:r w:rsidR="00192E6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/</w:t>
      </w:r>
      <w:r w:rsidR="003A27B1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49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 megvásárlására”</w:t>
      </w:r>
    </w:p>
    <w:p w:rsidR="008C617B" w:rsidRPr="00EA4672" w:rsidRDefault="008C617B" w:rsidP="008C61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 BIZOTTSÁG ÁLTAL BONTHATÓ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pályázattal kapcsolatos kérdések feltehetők 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1516BF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1516BF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január</w:t>
      </w:r>
      <w:r w:rsidR="00D50B2B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04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F14069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F14069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="006A16C5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502482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17</w:t>
      </w:r>
      <w:r w:rsidR="006A16C5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201</w:t>
      </w:r>
      <w:r w:rsidR="00B352F1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6A16C5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B352F1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januá</w:t>
      </w:r>
      <w:r w:rsidR="006A16C5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r </w:t>
      </w:r>
      <w:r w:rsidR="00502482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21</w:t>
      </w:r>
      <w:r w:rsidR="0068246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10:00 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(munkanapokon hétfőtől csütörtökig 8.30-16.00 között, pénteken 8.30-12.00 között) </w:t>
      </w:r>
      <w:r w:rsidR="00502482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0.000,- Ft ellenében vehető át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502482" w:rsidRPr="00F14069" w:rsidRDefault="00502482" w:rsidP="00502482">
      <w:pPr>
        <w:spacing w:after="0" w:line="240" w:lineRule="auto"/>
        <w:jc w:val="center"/>
        <w:rPr>
          <w:b/>
          <w:bCs/>
          <w:u w:val="single"/>
          <w:lang w:eastAsia="hu-HU"/>
        </w:rPr>
      </w:pPr>
      <w:r w:rsidRPr="00F14069">
        <w:rPr>
          <w:b/>
          <w:bCs/>
          <w:u w:val="single"/>
          <w:lang w:eastAsia="hu-HU"/>
        </w:rPr>
        <w:t xml:space="preserve">Pénztári </w:t>
      </w:r>
      <w:proofErr w:type="spellStart"/>
      <w:r w:rsidRPr="00F14069">
        <w:rPr>
          <w:b/>
          <w:bCs/>
          <w:u w:val="single"/>
          <w:lang w:eastAsia="hu-HU"/>
        </w:rPr>
        <w:t>nyitvatartás</w:t>
      </w:r>
      <w:proofErr w:type="spellEnd"/>
      <w:r w:rsidRPr="00F14069">
        <w:rPr>
          <w:b/>
          <w:bCs/>
          <w:u w:val="single"/>
          <w:lang w:eastAsia="hu-HU"/>
        </w:rPr>
        <w:t>:</w:t>
      </w:r>
    </w:p>
    <w:p w:rsidR="00502482" w:rsidRPr="00F14069" w:rsidRDefault="00502482" w:rsidP="00502482">
      <w:pPr>
        <w:spacing w:after="0" w:line="240" w:lineRule="auto"/>
        <w:jc w:val="center"/>
        <w:rPr>
          <w:b/>
          <w:bCs/>
          <w:lang w:eastAsia="hu-HU"/>
        </w:rPr>
      </w:pPr>
      <w:r w:rsidRPr="00F14069">
        <w:rPr>
          <w:b/>
          <w:bCs/>
          <w:lang w:eastAsia="hu-HU"/>
        </w:rPr>
        <w:t>Hétfő:      12:00 – 15:30</w:t>
      </w:r>
    </w:p>
    <w:p w:rsidR="00502482" w:rsidRPr="00F14069" w:rsidRDefault="00502482" w:rsidP="00502482">
      <w:pPr>
        <w:spacing w:after="0" w:line="240" w:lineRule="auto"/>
        <w:jc w:val="center"/>
        <w:rPr>
          <w:b/>
          <w:bCs/>
          <w:lang w:eastAsia="hu-HU"/>
        </w:rPr>
      </w:pPr>
      <w:r w:rsidRPr="00F14069">
        <w:rPr>
          <w:b/>
          <w:bCs/>
          <w:lang w:eastAsia="hu-HU"/>
        </w:rPr>
        <w:t>Szerda:    08:00 – 15:30</w:t>
      </w:r>
    </w:p>
    <w:p w:rsidR="00502482" w:rsidRPr="00F14069" w:rsidRDefault="00502482" w:rsidP="00502482">
      <w:pPr>
        <w:spacing w:after="0" w:line="240" w:lineRule="auto"/>
        <w:jc w:val="center"/>
        <w:rPr>
          <w:b/>
          <w:bCs/>
          <w:lang w:eastAsia="hu-HU"/>
        </w:rPr>
      </w:pPr>
      <w:r w:rsidRPr="00F14069">
        <w:rPr>
          <w:b/>
          <w:bCs/>
          <w:lang w:eastAsia="hu-HU"/>
        </w:rPr>
        <w:t>Péntek:        08:00 – 11:30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50248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</w:t>
      </w:r>
      <w:r w:rsidR="003A27B1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502482"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>harminc</w:t>
      </w:r>
      <w:r w:rsidR="00F71D88"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</w:t>
      </w:r>
      <w:r w:rsidRPr="008C617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15514004</w:t>
      </w:r>
      <w:r w:rsidR="00582C3C" w:rsidRPr="008C617B">
        <w:rPr>
          <w:rFonts w:ascii="Times New Roman" w:hAnsi="Times New Roman"/>
          <w:b/>
          <w:spacing w:val="2"/>
        </w:rPr>
        <w:t xml:space="preserve">-10190009 </w:t>
      </w:r>
      <w:r w:rsidRPr="008C617B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23583C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9</w:t>
      </w:r>
      <w:r w:rsidR="00502482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január 21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23583C"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é</w:t>
      </w:r>
      <w:r w:rsidRPr="00F1406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F14069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231670" w:rsidRPr="006E36EF" w:rsidRDefault="00231670" w:rsidP="00231670">
      <w:pPr>
        <w:spacing w:before="120" w:after="120" w:line="240" w:lineRule="auto"/>
        <w:jc w:val="both"/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</w:pPr>
      <w:r w:rsidRPr="006E36EF"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  <w:t xml:space="preserve">Az adásvételi szerződést a nyertes pályázó köteles az elbírálást követő </w:t>
      </w:r>
      <w:r w:rsidRPr="00231670">
        <w:rPr>
          <w:rFonts w:ascii="Calibri Light" w:eastAsia="Times New Roman" w:hAnsi="Calibri Light" w:cs="Times New Roman"/>
          <w:b/>
          <w:i/>
          <w:color w:val="000000" w:themeColor="text1"/>
          <w:sz w:val="24"/>
          <w:u w:val="single"/>
          <w:lang w:eastAsia="hu-HU"/>
        </w:rPr>
        <w:t xml:space="preserve">3 napon belül </w:t>
      </w:r>
      <w:r w:rsidRPr="006E36EF">
        <w:rPr>
          <w:rFonts w:ascii="Calibri Light" w:eastAsia="Times New Roman" w:hAnsi="Calibri Light" w:cs="Times New Roman"/>
          <w:b/>
          <w:i/>
          <w:sz w:val="24"/>
          <w:u w:val="single"/>
          <w:lang w:eastAsia="hu-HU"/>
        </w:rPr>
        <w:t>aláírni. A birtokba adás az elővásárlási jog-gyakorlásról szóló nyilatkozatokra nyitva álló határidő lejártát követő munkanapon történik.</w:t>
      </w:r>
    </w:p>
    <w:p w:rsidR="00BD0EF4" w:rsidRPr="00E37098" w:rsidRDefault="00BD0EF4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EA4672" w:rsidRPr="00420E2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</w:t>
      </w:r>
      <w:r w:rsidRPr="00420E2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megkötése a nyertes pályázó érdekkörében felmerült más okból hiúsult meg, továbbá abban az esetben, </w:t>
      </w:r>
      <w:r w:rsidRPr="00420E2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ha az Ajánlattevő az ajánlattételi kötöttség időtartama alatt ajánlatát visszavonta, a befizetett biztosíték bánatpénzként funkci</w:t>
      </w:r>
      <w:r w:rsidR="00E37098" w:rsidRPr="00420E2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</w:t>
      </w:r>
      <w:r w:rsidRPr="00420E2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420E2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20E22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</w:t>
      </w:r>
      <w:r w:rsidR="00420E22" w:rsidRPr="00420E2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összegét </w:t>
      </w:r>
      <w:r w:rsidRPr="00420E22">
        <w:rPr>
          <w:rFonts w:ascii="Times New Roman" w:eastAsia="Times New Roman" w:hAnsi="Times New Roman" w:cs="Times New Roman"/>
          <w:color w:val="000000" w:themeColor="text1"/>
          <w:lang w:eastAsia="hu-HU"/>
        </w:rPr>
        <w:t>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9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E37098" w:rsidRPr="008C617B" w:rsidRDefault="00E37098" w:rsidP="00E37098">
      <w:pPr>
        <w:spacing w:before="120" w:after="120"/>
        <w:jc w:val="both"/>
        <w:rPr>
          <w:rFonts w:ascii="Times New Roman" w:hAnsi="Times New Roman" w:cs="Times New Roman"/>
        </w:rPr>
      </w:pPr>
      <w:r w:rsidRPr="008C617B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231670">
        <w:rPr>
          <w:rFonts w:ascii="Times New Roman" w:hAnsi="Times New Roman" w:cs="Times New Roman"/>
        </w:rPr>
        <w:t>,</w:t>
      </w:r>
      <w:r w:rsidRPr="008C617B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231670">
        <w:rPr>
          <w:rFonts w:ascii="Times New Roman" w:hAnsi="Times New Roman" w:cs="Times New Roman"/>
        </w:rPr>
        <w:t>.</w:t>
      </w:r>
      <w:r w:rsidRPr="008C617B">
        <w:rPr>
          <w:rFonts w:ascii="Times New Roman" w:hAnsi="Times New Roman" w:cs="Times New Roman"/>
        </w:rPr>
        <w:t xml:space="preserve"> </w:t>
      </w:r>
      <w:r w:rsidR="00231670">
        <w:rPr>
          <w:rFonts w:ascii="Times New Roman" w:hAnsi="Times New Roman" w:cs="Times New Roman"/>
        </w:rPr>
        <w:t>A</w:t>
      </w:r>
      <w:r w:rsidRPr="008C617B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E37098" w:rsidRPr="00933E6A" w:rsidRDefault="00E37098" w:rsidP="00E37098">
      <w:pPr>
        <w:spacing w:before="120" w:after="120"/>
        <w:jc w:val="both"/>
        <w:rPr>
          <w:rFonts w:ascii="Times New Roman" w:hAnsi="Times New Roman" w:cs="Times New Roman"/>
        </w:rPr>
      </w:pPr>
      <w:r w:rsidRPr="008C617B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8C617B">
        <w:rPr>
          <w:rFonts w:ascii="Times New Roman" w:hAnsi="Times New Roman" w:cs="Times New Roman"/>
          <w:strike/>
        </w:rPr>
        <w:t xml:space="preserve"> </w:t>
      </w:r>
      <w:r w:rsidRPr="008C617B">
        <w:rPr>
          <w:rFonts w:ascii="Times New Roman" w:hAnsi="Times New Roman" w:cs="Times New Roman"/>
        </w:rPr>
        <w:t>sor kerülhet.</w:t>
      </w:r>
    </w:p>
    <w:p w:rsidR="00EA4672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6A16C5" w:rsidRPr="006A16C5" w:rsidRDefault="006A16C5" w:rsidP="006A16C5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F14069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F420D6">
        <w:rPr>
          <w:rFonts w:ascii="Times New Roman" w:hAnsi="Times New Roman" w:cs="Times New Roman"/>
          <w:b/>
          <w:bCs/>
          <w:spacing w:val="2"/>
        </w:rPr>
        <w:t>december 17</w:t>
      </w:r>
      <w:bookmarkStart w:id="10" w:name="_GoBack"/>
      <w:bookmarkEnd w:id="10"/>
      <w:r w:rsidRPr="00F14069">
        <w:rPr>
          <w:rFonts w:ascii="Times New Roman" w:hAnsi="Times New Roman" w:cs="Times New Roman"/>
          <w:b/>
          <w:bCs/>
          <w:spacing w:val="2"/>
        </w:rPr>
        <w:t xml:space="preserve"> - 201</w:t>
      </w:r>
      <w:r w:rsidR="00341F19" w:rsidRPr="00F14069">
        <w:rPr>
          <w:rFonts w:ascii="Times New Roman" w:hAnsi="Times New Roman" w:cs="Times New Roman"/>
          <w:b/>
          <w:bCs/>
          <w:spacing w:val="2"/>
        </w:rPr>
        <w:t>9</w:t>
      </w:r>
      <w:r w:rsidRPr="00F14069">
        <w:rPr>
          <w:rFonts w:ascii="Times New Roman" w:hAnsi="Times New Roman" w:cs="Times New Roman"/>
          <w:b/>
          <w:bCs/>
          <w:spacing w:val="2"/>
        </w:rPr>
        <w:t xml:space="preserve">. </w:t>
      </w:r>
      <w:r w:rsidR="00341F19" w:rsidRPr="00F14069">
        <w:rPr>
          <w:rFonts w:ascii="Times New Roman" w:hAnsi="Times New Roman" w:cs="Times New Roman"/>
          <w:b/>
          <w:bCs/>
          <w:spacing w:val="2"/>
        </w:rPr>
        <w:t>januá</w:t>
      </w:r>
      <w:r w:rsidRPr="00F14069">
        <w:rPr>
          <w:rFonts w:ascii="Times New Roman" w:hAnsi="Times New Roman" w:cs="Times New Roman"/>
          <w:b/>
          <w:bCs/>
          <w:spacing w:val="2"/>
        </w:rPr>
        <w:t xml:space="preserve">r </w:t>
      </w:r>
      <w:r w:rsidR="00D50B2B" w:rsidRPr="00F14069">
        <w:rPr>
          <w:rFonts w:ascii="Times New Roman" w:hAnsi="Times New Roman" w:cs="Times New Roman"/>
          <w:b/>
          <w:bCs/>
          <w:spacing w:val="2"/>
        </w:rPr>
        <w:t>04</w:t>
      </w:r>
      <w:r w:rsidRPr="00F14069">
        <w:rPr>
          <w:rFonts w:ascii="Times New Roman" w:hAnsi="Times New Roman" w:cs="Times New Roman"/>
          <w:b/>
          <w:bCs/>
          <w:spacing w:val="2"/>
        </w:rPr>
        <w:t>-ig.</w:t>
      </w:r>
    </w:p>
    <w:p w:rsidR="006A16C5" w:rsidRPr="00491FF2" w:rsidRDefault="006A16C5" w:rsidP="006A16C5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A467E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0D6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55"/>
    <w:rsid w:val="00032265"/>
    <w:rsid w:val="00125CDB"/>
    <w:rsid w:val="001516BF"/>
    <w:rsid w:val="00175DB3"/>
    <w:rsid w:val="00192E67"/>
    <w:rsid w:val="001E0EF3"/>
    <w:rsid w:val="00231670"/>
    <w:rsid w:val="0023583C"/>
    <w:rsid w:val="00263D90"/>
    <w:rsid w:val="002704A3"/>
    <w:rsid w:val="002713E2"/>
    <w:rsid w:val="00295748"/>
    <w:rsid w:val="002A3988"/>
    <w:rsid w:val="00300336"/>
    <w:rsid w:val="00327D7D"/>
    <w:rsid w:val="00341F19"/>
    <w:rsid w:val="003A27B1"/>
    <w:rsid w:val="004177C9"/>
    <w:rsid w:val="004177D3"/>
    <w:rsid w:val="00420E22"/>
    <w:rsid w:val="00477EC9"/>
    <w:rsid w:val="004829D9"/>
    <w:rsid w:val="004B7DC4"/>
    <w:rsid w:val="004F3838"/>
    <w:rsid w:val="00502482"/>
    <w:rsid w:val="00555C14"/>
    <w:rsid w:val="00560D0A"/>
    <w:rsid w:val="0057646A"/>
    <w:rsid w:val="00582C3C"/>
    <w:rsid w:val="005E0860"/>
    <w:rsid w:val="005E311A"/>
    <w:rsid w:val="00617039"/>
    <w:rsid w:val="00645FB7"/>
    <w:rsid w:val="00655C4C"/>
    <w:rsid w:val="0068246A"/>
    <w:rsid w:val="006A16C5"/>
    <w:rsid w:val="006A5B57"/>
    <w:rsid w:val="007C12E5"/>
    <w:rsid w:val="00820E70"/>
    <w:rsid w:val="0082484D"/>
    <w:rsid w:val="00832D69"/>
    <w:rsid w:val="00835B16"/>
    <w:rsid w:val="008C1427"/>
    <w:rsid w:val="008C617B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9F322A"/>
    <w:rsid w:val="00A04A87"/>
    <w:rsid w:val="00A22CE9"/>
    <w:rsid w:val="00B22F7F"/>
    <w:rsid w:val="00B24279"/>
    <w:rsid w:val="00B352F1"/>
    <w:rsid w:val="00B36EDB"/>
    <w:rsid w:val="00B459FB"/>
    <w:rsid w:val="00B71774"/>
    <w:rsid w:val="00B80757"/>
    <w:rsid w:val="00B813FD"/>
    <w:rsid w:val="00B87EFD"/>
    <w:rsid w:val="00BA1474"/>
    <w:rsid w:val="00BD0EF4"/>
    <w:rsid w:val="00BE3A78"/>
    <w:rsid w:val="00CA2261"/>
    <w:rsid w:val="00CE4688"/>
    <w:rsid w:val="00D227BE"/>
    <w:rsid w:val="00D24988"/>
    <w:rsid w:val="00D25846"/>
    <w:rsid w:val="00D50B2B"/>
    <w:rsid w:val="00D752B5"/>
    <w:rsid w:val="00D76456"/>
    <w:rsid w:val="00D84E34"/>
    <w:rsid w:val="00DB0555"/>
    <w:rsid w:val="00DB4D1B"/>
    <w:rsid w:val="00DC4BB8"/>
    <w:rsid w:val="00E37098"/>
    <w:rsid w:val="00E67E4A"/>
    <w:rsid w:val="00E721D8"/>
    <w:rsid w:val="00EA4672"/>
    <w:rsid w:val="00EC5AA0"/>
    <w:rsid w:val="00F14069"/>
    <w:rsid w:val="00F37962"/>
    <w:rsid w:val="00F40BC8"/>
    <w:rsid w:val="00F420D6"/>
    <w:rsid w:val="00F4249E"/>
    <w:rsid w:val="00F47025"/>
    <w:rsid w:val="00F504D1"/>
    <w:rsid w:val="00F71774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6A16C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A1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BF9D-6491-4700-BDA4-FC81B76E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1245</Words>
  <Characters>8598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Szőlősi Zsolt</cp:lastModifiedBy>
  <cp:revision>19</cp:revision>
  <cp:lastPrinted>2018-11-22T09:19:00Z</cp:lastPrinted>
  <dcterms:created xsi:type="dcterms:W3CDTF">2018-09-21T03:28:00Z</dcterms:created>
  <dcterms:modified xsi:type="dcterms:W3CDTF">2018-12-06T08:07:00Z</dcterms:modified>
</cp:coreProperties>
</file>