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F53437" Type="http://schemas.openxmlformats.org/officeDocument/2006/relationships/officeDocument" Target="/word/document.xml" /><Relationship Id="coreR37F534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4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Budapest Főváros XIV. Kerület Zugló Önkormányzata</w:t>
      </w:r>
    </w:p>
    <w:p>
      <w:pPr>
        <w:pStyle w:val="P4"/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Alpolgármestere</w:t>
      </w:r>
    </w:p>
    <w:p>
      <w:pPr>
        <w:pStyle w:val="P4"/>
        <w:jc w:val="left"/>
        <w:rPr>
          <w:b w:val="1"/>
          <w:i w:val="0"/>
          <w:szCs w:val="24"/>
        </w:rPr>
      </w:pPr>
    </w:p>
    <w:p>
      <w:pPr>
        <w:pStyle w:val="P4"/>
        <w:jc w:val="left"/>
        <w:rPr>
          <w:i w:val="0"/>
          <w:szCs w:val="24"/>
        </w:rPr>
      </w:pPr>
      <w:r>
        <w:rPr>
          <w:b w:val="1"/>
          <w:i w:val="0"/>
          <w:szCs w:val="24"/>
        </w:rPr>
        <w:t>Szám:</w:t>
      </w:r>
      <w:r>
        <w:rPr>
          <w:i w:val="0"/>
          <w:szCs w:val="24"/>
        </w:rPr>
        <w:t xml:space="preserve"> 123-474/2024</w:t>
      </w:r>
    </w:p>
    <w:p>
      <w:pPr>
        <w:pStyle w:val="P4"/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>
      <w:pPr>
        <w:pStyle w:val="P4"/>
        <w:jc w:val="center"/>
        <w:rPr>
          <w:i w:val="0"/>
          <w:bCs w:val="0"/>
          <w:szCs w:val="24"/>
        </w:rPr>
      </w:pPr>
    </w:p>
    <w:p>
      <w:pPr>
        <w:pStyle w:val="P4"/>
        <w:rPr>
          <w:i w:val="0"/>
          <w:bCs w:val="0"/>
          <w:szCs w:val="24"/>
        </w:rPr>
      </w:pPr>
    </w:p>
    <w:p>
      <w:pPr>
        <w:pStyle w:val="P4"/>
        <w:jc w:val="center"/>
        <w:rPr>
          <w:bCs w:val="0"/>
          <w:color w:val="000000" w:themeColor="text1"/>
          <w:szCs w:val="24"/>
        </w:rPr>
      </w:pPr>
      <w:r>
        <w:rPr>
          <w:b w:val="1"/>
          <w:i w:val="0"/>
          <w:bCs w:val="0"/>
          <w:color w:val="000000" w:themeColor="text1"/>
          <w:szCs w:val="24"/>
        </w:rPr>
        <w:t>Napirend száma</w:t>
      </w:r>
      <w:r>
        <w:rPr>
          <w:b w:val="1"/>
          <w:bCs w:val="0"/>
          <w:color w:val="000000" w:themeColor="text1"/>
          <w:szCs w:val="24"/>
        </w:rPr>
        <w:t>:</w:t>
      </w:r>
      <w:r>
        <w:rPr>
          <w:bCs w:val="0"/>
          <w:color w:val="000000" w:themeColor="text1"/>
          <w:szCs w:val="24"/>
        </w:rPr>
        <w:t xml:space="preserve"> ……………….</w:t>
      </w:r>
    </w:p>
    <w:p>
      <w:pPr>
        <w:pStyle w:val="P4"/>
        <w:rPr>
          <w:i w:val="0"/>
          <w:bCs w:val="0"/>
          <w:color w:val="000000" w:themeColor="text1"/>
          <w:szCs w:val="24"/>
        </w:rPr>
      </w:pPr>
    </w:p>
    <w:p>
      <w:pPr>
        <w:pStyle w:val="P4"/>
        <w:jc w:val="center"/>
        <w:rPr>
          <w:i w:val="0"/>
          <w:bCs w:val="0"/>
          <w:color w:val="000000" w:themeColor="text1"/>
          <w:szCs w:val="24"/>
        </w:rPr>
      </w:pPr>
      <w:r>
        <w:rPr>
          <w:i w:val="0"/>
          <w:bCs w:val="0"/>
          <w:color w:val="000000" w:themeColor="text1"/>
          <w:szCs w:val="24"/>
        </w:rPr>
        <w:t>Képviselő-testület 2024.09.05-i ülésére</w:t>
      </w:r>
    </w:p>
    <w:p>
      <w:pPr>
        <w:pStyle w:val="P4"/>
        <w:jc w:val="center"/>
        <w:rPr>
          <w:b w:val="1"/>
          <w:i w:val="0"/>
          <w:color w:val="000000" w:themeColor="text1"/>
          <w:szCs w:val="24"/>
        </w:rPr>
      </w:pPr>
    </w:p>
    <w:p>
      <w:pPr>
        <w:pStyle w:val="P4"/>
        <w:jc w:val="center"/>
        <w:rPr>
          <w:b w:val="1"/>
          <w:i w:val="0"/>
          <w:color w:val="000000" w:themeColor="text1"/>
          <w:szCs w:val="24"/>
        </w:rPr>
      </w:pPr>
    </w:p>
    <w:p>
      <w:pPr>
        <w:pStyle w:val="P4"/>
        <w:jc w:val="center"/>
        <w:outlineLvl w:val="0"/>
        <w:rPr>
          <w:b w:val="1"/>
          <w:i w:val="0"/>
          <w:color w:val="000000" w:themeColor="text1"/>
          <w:szCs w:val="24"/>
        </w:rPr>
      </w:pPr>
      <w:r>
        <w:rPr>
          <w:b w:val="1"/>
          <w:i w:val="0"/>
          <w:color w:val="000000" w:themeColor="text1"/>
          <w:szCs w:val="24"/>
        </w:rPr>
        <w:t>Tisztelt Képviselő-testület!</w:t>
      </w:r>
    </w:p>
    <w:p>
      <w:pPr>
        <w:pStyle w:val="P4"/>
        <w:jc w:val="center"/>
        <w:outlineLvl w:val="0"/>
        <w:rPr>
          <w:b w:val="1"/>
          <w:i w:val="0"/>
          <w:color w:val="000000" w:themeColor="text1"/>
          <w:szCs w:val="24"/>
        </w:rPr>
      </w:pPr>
    </w:p>
    <w:p>
      <w:pPr>
        <w:jc w:val="both"/>
        <w:rPr>
          <w:color w:val="000000" w:themeColor="text1"/>
          <w:u w:val="single"/>
        </w:rPr>
      </w:pPr>
      <w:r>
        <w:rPr>
          <w:b w:val="1"/>
          <w:color w:val="000000" w:themeColor="text1"/>
          <w:u w:val="single"/>
        </w:rPr>
        <w:t>Tárgy:</w:t>
      </w:r>
      <w:r>
        <w:rPr>
          <w:i w:val="1"/>
          <w:color w:val="000000" w:themeColor="text1"/>
          <w:u w:val="single"/>
        </w:rPr>
        <w:t xml:space="preserve"> </w:t>
      </w:r>
    </w:p>
    <w:p>
      <w:pPr>
        <w:jc w:val="center"/>
        <w:rPr>
          <w:b w:val="1"/>
          <w:bCs w:val="1"/>
          <w:color w:val="000000" w:themeColor="text1"/>
        </w:rPr>
      </w:pPr>
    </w:p>
    <w:p>
      <w:pPr>
        <w:jc w:val="center"/>
        <w:rPr>
          <w:b w:val="1"/>
          <w:bCs w:val="1"/>
          <w:color w:val="000000" w:themeColor="text1"/>
        </w:rPr>
      </w:pPr>
      <w:r>
        <w:rPr>
          <w:b w:val="1"/>
          <w:bCs w:val="1"/>
          <w:color w:val="000000" w:themeColor="text1"/>
        </w:rPr>
        <w:t>Javaslat a „</w:t>
      </w:r>
      <w:bookmarkStart w:id="0" w:name="_Hlk144981045"/>
      <w:bookmarkStart w:id="1" w:name="_Hlk158275003"/>
      <w:r>
        <w:rPr>
          <w:b w:val="1"/>
          <w:bCs w:val="1"/>
          <w:color w:val="000000" w:themeColor="text1"/>
        </w:rPr>
        <w:t>Budapest Főváros XIV. Kerület Zugló Önkormányzata Intézménye, a Zuglói Egyesített Bölcsődék részére történő élelmiszer és főzési alapanyag beszerzés</w:t>
      </w:r>
      <w:bookmarkEnd w:id="0"/>
      <w:r>
        <w:rPr>
          <w:b w:val="1"/>
          <w:bCs w:val="1"/>
          <w:color w:val="000000" w:themeColor="text1"/>
        </w:rPr>
        <w:t>e 2 részben</w:t>
      </w:r>
      <w:bookmarkEnd w:id="1"/>
      <w:r>
        <w:rPr>
          <w:b w:val="1"/>
          <w:bCs w:val="1"/>
          <w:color w:val="000000" w:themeColor="text1"/>
        </w:rPr>
        <w:t>” tárgyú, uniós értékhatárt elérő, nyílt közbeszerzési eljárás megindítására.</w:t>
      </w:r>
    </w:p>
    <w:p>
      <w:pPr>
        <w:pStyle w:val="P4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color w:val="000000" w:themeColor="text1"/>
          <w:szCs w:val="24"/>
        </w:rPr>
      </w:pPr>
    </w:p>
    <w:p>
      <w:pPr>
        <w:pStyle w:val="P4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color w:val="000000" w:themeColor="text1"/>
          <w:szCs w:val="24"/>
        </w:rPr>
      </w:pPr>
      <w:r>
        <w:rPr>
          <w:b w:val="1"/>
          <w:i w:val="0"/>
          <w:bCs w:val="0"/>
          <w:color w:val="000000" w:themeColor="text1"/>
          <w:szCs w:val="24"/>
        </w:rPr>
        <w:t>I. Előzmények</w:t>
      </w:r>
    </w:p>
    <w:p>
      <w:pPr>
        <w:pStyle w:val="P5"/>
        <w:spacing w:before="120" w:beforeAutospacing="0" w:afterAutospacing="0"/>
        <w:rPr>
          <w:color w:val="000000" w:themeColor="text1"/>
        </w:rPr>
      </w:pPr>
      <w:r>
        <w:rPr>
          <w:color w:val="000000" w:themeColor="text1"/>
        </w:rPr>
        <w:t xml:space="preserve">A gyermekek védelméről és a gyámügyi igazgatásról szóló 1997. évi XXXI. törvény 21/A. § (3) bekezdés a) pontja alapján a települési önkormányzat köteles biztosítani a gyermekétkeztetést az általa fenntartott bölcsődében, mini bölcsődében és óvodában, továbbá a közigazgatási területén a tankerületi központ, valamint az állami szakképzési és felnőttképzési szerv által fenntartott nem bentlakásos nevelési-oktatási intézményben. </w:t>
      </w:r>
    </w:p>
    <w:p>
      <w:pPr>
        <w:pStyle w:val="P25"/>
        <w:rPr>
          <w:i w:val="0"/>
          <w:szCs w:val="24"/>
        </w:rPr>
      </w:pPr>
      <w:r>
        <w:rPr>
          <w:i w:val="0"/>
          <w:szCs w:val="24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>
      <w:pPr>
        <w:pStyle w:val="P25"/>
        <w:rPr>
          <w:i w:val="0"/>
          <w:iCs w:val="1"/>
          <w:color w:val="000000" w:themeColor="text1"/>
          <w:szCs w:val="24"/>
        </w:rPr>
      </w:pPr>
    </w:p>
    <w:p>
      <w:pPr>
        <w:pStyle w:val="P25"/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 xml:space="preserve">A Zuglói Egyesített Bölcsődék </w:t>
      </w:r>
      <w:r>
        <w:rPr>
          <w:b w:val="1"/>
          <w:i w:val="0"/>
          <w:iCs w:val="1"/>
          <w:color w:val="000000" w:themeColor="text1"/>
          <w:szCs w:val="24"/>
        </w:rPr>
        <w:t>a bölcsődei gyermekek étkeztetését 12 telephelyen, saját főzőkonyhával</w:t>
      </w:r>
      <w:r>
        <w:rPr>
          <w:i w:val="0"/>
          <w:iCs w:val="1"/>
          <w:color w:val="000000" w:themeColor="text1"/>
          <w:szCs w:val="24"/>
        </w:rPr>
        <w:t xml:space="preserve"> látja el. </w:t>
      </w:r>
      <w:r>
        <w:rPr>
          <w:b w:val="1"/>
          <w:i w:val="0"/>
          <w:iCs w:val="1"/>
          <w:color w:val="000000" w:themeColor="text1"/>
          <w:szCs w:val="24"/>
        </w:rPr>
        <w:t>A Zuglói Egyesített Bölcsődék továbbá négy óvodai tagintézmény (bölcsődével egy épületben lévő óvoda) részére biztosítja</w:t>
      </w:r>
      <w:r>
        <w:rPr>
          <w:i w:val="0"/>
          <w:iCs w:val="1"/>
          <w:color w:val="000000" w:themeColor="text1"/>
          <w:szCs w:val="24"/>
        </w:rPr>
        <w:t xml:space="preserve"> a napi étkeztetést. </w:t>
      </w:r>
    </w:p>
    <w:p>
      <w:pPr>
        <w:pStyle w:val="P25"/>
        <w:rPr>
          <w:i w:val="0"/>
          <w:iCs w:val="1"/>
          <w:color w:val="000000" w:themeColor="text1"/>
          <w:szCs w:val="24"/>
        </w:rPr>
      </w:pPr>
    </w:p>
    <w:p>
      <w:pPr>
        <w:pStyle w:val="P25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 xml:space="preserve">A tavalyi év során a 8 különböző termékkör vonatkozásában már kiírásra került egy közbeszerzési eljárás. Az eljárás 3 termékkört érintően eredményesen zárult, ezt követően további 3 termékkör közbeszerzése is eredményes lett, azonban két termékkör (Mirelit és Tej, tejtermék, diétás alapanyagok) vonatkozásában ismételt, új eljárás kiírása vált szükségessé. </w:t>
      </w:r>
    </w:p>
    <w:p>
      <w:pPr>
        <w:pStyle w:val="P25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>Az új eljárás a korábbihoz hasonlóan, a termékkörök különbözősége okán, egyetlen közbeszerzési eljárásban részajánlattétel lehetőségével került előkészítésre.</w:t>
      </w:r>
    </w:p>
    <w:p>
      <w:pPr>
        <w:pStyle w:val="P25"/>
        <w:rPr>
          <w:i w:val="0"/>
          <w:color w:val="000000" w:themeColor="text1"/>
          <w:szCs w:val="24"/>
        </w:rPr>
      </w:pPr>
    </w:p>
    <w:p>
      <w:pPr>
        <w:spacing w:after="120" w:beforeAutospacing="0" w:afterAutospacing="0"/>
        <w:jc w:val="both"/>
        <w:rPr>
          <w:color w:val="000000" w:themeColor="text1"/>
          <w:lang w:bidi="hi-IN" w:eastAsia="zh-CN"/>
        </w:rPr>
      </w:pPr>
      <w:r>
        <w:rPr>
          <w:color w:val="000000" w:themeColor="text1"/>
          <w:lang w:bidi="hi-IN" w:eastAsia="zh-CN"/>
        </w:rPr>
        <w:t>Tekintettel a hatályos közbeszerzési szabályozási környezetre, a jogalkotó a 63/2022. Korm. rendeletében, az egyajánlatos közbeszerzések számának csökkentése érdekében, Előzetes Piaci Konzultáció (továbbiakban rövidítve: EPK) lefolytatását határozza meg. (Az EPK egy olyan elektronikus felületen (EKR) bonyolított egyeztetési fórum, mely alkalmat ad arra, hogy az Ajánlatkérők a Műszaki leírás és a Szerződéstervezet nyilvánosságra bocsátásával, a gazdasági szereplőktől (potenciális ajánlattevőktől) véleményeket, javaslatokat és észrevételeket kapjanak a tervezett közbeszerzési eljárás megfelelő tartalmának kialakításához.)</w:t>
      </w:r>
    </w:p>
    <w:p>
      <w:pPr>
        <w:spacing w:after="120" w:beforeAutospacing="0" w:afterAutospacing="0"/>
        <w:jc w:val="both"/>
        <w:rPr>
          <w:color w:val="000000" w:themeColor="text1"/>
          <w:lang w:bidi="hi-IN" w:eastAsia="zh-CN"/>
        </w:rPr>
      </w:pPr>
      <w:r>
        <w:rPr>
          <w:color w:val="000000" w:themeColor="text1"/>
          <w:lang w:bidi="hi-IN" w:eastAsia="zh-CN"/>
        </w:rPr>
        <w:t xml:space="preserve">A hatályos szabályozás értelmében (Kbt. 75. § (1) bek. e) pontja alapján) csak abban az esetben lehetséges egyetlen ajánlat benyújtásával is eredményes a közbeszerzés, amennyiben előzőleg EPK lefolytatása történik. A fentiek figyelembevételével, ezen eljárás során 2024. augusztus 15. napján Előzetes Piaci Konzultációt kezdeményeztünk, amely 2024. augusztus 23. napján 16 órakor lezárult. </w:t>
      </w:r>
    </w:p>
    <w:p>
      <w:pPr>
        <w:spacing w:after="120" w:beforeAutospacing="0" w:afterAutospacing="0"/>
        <w:jc w:val="both"/>
        <w:rPr>
          <w:color w:val="000000" w:themeColor="text1"/>
          <w:lang w:bidi="hi-IN" w:eastAsia="zh-CN"/>
        </w:rPr>
      </w:pPr>
      <w:r>
        <w:rPr>
          <w:color w:val="000000" w:themeColor="text1"/>
          <w:lang w:bidi="hi-IN" w:eastAsia="zh-CN"/>
        </w:rPr>
        <w:t>Az erről szóló összegfoglaló, jelen előterjesztés 2. számú mellékleteként került csatolásra.</w:t>
      </w:r>
    </w:p>
    <w:p>
      <w:pPr>
        <w:pStyle w:val="P4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color w:val="000000" w:themeColor="text1"/>
          <w:szCs w:val="24"/>
        </w:rPr>
      </w:pPr>
      <w:r>
        <w:rPr>
          <w:b w:val="1"/>
          <w:i w:val="0"/>
          <w:bCs w:val="0"/>
          <w:color w:val="000000" w:themeColor="text1"/>
          <w:szCs w:val="24"/>
        </w:rPr>
        <w:t>II. Vélemények</w:t>
      </w:r>
    </w:p>
    <w:p>
      <w:pPr>
        <w:pStyle w:val="P25"/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A beszerzés tervezett időtartama a rendelkezésre álló keretmennyiség kimerüléséig, de legkésőbb a szerződések hatályba lépésétől számított 12 hónapos határozott időre kerülne kiírásra, + 12 hónap hosszabbítás lehetőségével.</w:t>
      </w:r>
    </w:p>
    <w:p>
      <w:pPr>
        <w:pStyle w:val="P25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 xml:space="preserve">Az eljárás becsült értéke – 12 + 12 hónap, a meghosszabbítás idejére inflációkövető indexálással számolva, részekre történő ajánlattétel esetén részenként is megadva, a jelen előterjesztés 4. számú mellékletében csatolt indítólevélben került részletezésre. Termékkörönként a beszerzendő élelmiszerek mennyiségeit az 5. melléklet szerinti ajánlati felhívás tartalmazza. </w:t>
      </w:r>
    </w:p>
    <w:p>
      <w:pPr>
        <w:pStyle w:val="P25"/>
        <w:rPr>
          <w:i w:val="0"/>
          <w:color w:val="000000" w:themeColor="text1"/>
          <w:szCs w:val="24"/>
        </w:rPr>
      </w:pPr>
    </w:p>
    <w:p>
      <w:pPr>
        <w:pStyle w:val="P22"/>
        <w:ind w:firstLine="0" w:left="0"/>
      </w:pPr>
      <w:r>
        <w:t>A tárgyi közbeszerzési eljárás lefolytatását követően, a nyertes ajánlattevőkkel a 6. melléklet szerinti adásvételi szerződés kerül megkötésre, melynek mellékletét képezi a jelen előterjesztés 3. melléklete (Műszaki leírás), ami tartalmazza a szakmai szakértők által előkészített részletes feladatok meghatározását, a műszaki-szakmai tartalmat.</w:t>
      </w:r>
    </w:p>
    <w:p>
      <w:pPr>
        <w:pStyle w:val="P25"/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 xml:space="preserve"> A közétkezésben részt vevők számára az étkező életkorának és egészségügyi állapotának megfelelő minőségű és mennyiségű ételt kell biztosítani, amelyre a közétkeztetésre vonatkozó táplálkozás-egészségügyi előírásokról szóló 37/2014. (IV. 30.) EMMI rendelet előírásait kell alkalmazni. </w:t>
      </w:r>
    </w:p>
    <w:p>
      <w:pPr>
        <w:pStyle w:val="P25"/>
        <w:rPr>
          <w:i w:val="0"/>
          <w:iCs w:val="1"/>
          <w:color w:val="000000" w:themeColor="text1"/>
          <w:szCs w:val="24"/>
        </w:rPr>
      </w:pPr>
    </w:p>
    <w:p>
      <w:pPr>
        <w:jc w:val="both"/>
        <w:rPr>
          <w:bCs w:val="1"/>
        </w:rPr>
      </w:pPr>
      <w:r>
        <w:rPr>
          <w:b w:val="1"/>
          <w:color w:val="000000" w:themeColor="text1"/>
        </w:rPr>
        <w:t xml:space="preserve">Gazdasági Főosztály véleménye: </w:t>
      </w:r>
      <w:r>
        <w:rPr>
          <w:color w:val="000000" w:themeColor="text1"/>
        </w:rPr>
        <w:t>Észrevételt nem tesz.</w:t>
      </w:r>
    </w:p>
    <w:p>
      <w:pPr>
        <w:spacing w:before="120" w:after="120" w:beforeAutospacing="0" w:afterAutospacing="0"/>
        <w:jc w:val="both"/>
        <w:rPr>
          <w:color w:val="000000" w:themeColor="text1"/>
        </w:rPr>
      </w:pPr>
      <w:r>
        <w:rPr>
          <w:b w:val="1"/>
          <w:color w:val="000000" w:themeColor="text1"/>
        </w:rPr>
        <w:t xml:space="preserve">Humánszolgáltatási Főosztály véleménye: </w:t>
      </w:r>
      <w:r>
        <w:t xml:space="preserve">A beszerzés szakmai és ágazati jogszabály szempontjából szükséges és </w:t>
      </w:r>
      <w:bookmarkStart w:id="2" w:name="_GoBack"/>
      <w:bookmarkEnd w:id="2"/>
      <w:r>
        <w:t>indokolt.</w:t>
      </w:r>
    </w:p>
    <w:p>
      <w:pPr>
        <w:pStyle w:val="P4"/>
        <w:outlineLvl w:val="0"/>
        <w:rPr>
          <w:i w:val="0"/>
          <w:bCs w:val="0"/>
          <w:szCs w:val="24"/>
        </w:rPr>
      </w:pPr>
      <w:r>
        <w:rPr>
          <w:b w:val="1"/>
          <w:i w:val="0"/>
          <w:color w:val="000000" w:themeColor="text1"/>
        </w:rPr>
        <w:t>Jogi Főosztály véleménye:</w:t>
      </w:r>
      <w:r>
        <w:rPr>
          <w:b w:val="1"/>
          <w:color w:val="000000" w:themeColor="text1"/>
        </w:rPr>
        <w:t xml:space="preserve"> </w:t>
      </w:r>
      <w:r>
        <w:rPr>
          <w:i w:val="0"/>
          <w:bCs w:val="0"/>
          <w:szCs w:val="24"/>
        </w:rPr>
        <w:t>Az előterjesztésben közölt adatok, egyéb információk alapján az előterjesztéshez jogi észrevételt nem tesz.</w:t>
      </w:r>
    </w:p>
    <w:p>
      <w:pPr>
        <w:pStyle w:val="P4"/>
        <w:outlineLvl w:val="0"/>
        <w:rPr>
          <w:i w:val="0"/>
          <w:bCs w:val="0"/>
          <w:szCs w:val="24"/>
        </w:rPr>
      </w:pPr>
    </w:p>
    <w:p>
      <w:pPr>
        <w:pStyle w:val="P4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color w:val="000000" w:themeColor="text1"/>
          <w:szCs w:val="24"/>
        </w:rPr>
      </w:pPr>
      <w:r>
        <w:rPr>
          <w:b w:val="1"/>
          <w:i w:val="0"/>
          <w:bCs w:val="0"/>
          <w:color w:val="000000" w:themeColor="text1"/>
          <w:szCs w:val="24"/>
        </w:rPr>
        <w:t>III. Bizottsági vélemények</w:t>
      </w:r>
    </w:p>
    <w:p>
      <w:pPr>
        <w:jc w:val="both"/>
        <w:rPr>
          <w:bCs w:val="1"/>
          <w:color w:val="000000" w:themeColor="text1"/>
        </w:rPr>
      </w:pPr>
      <w:r>
        <w:rPr>
          <w:color w:val="000000" w:themeColor="text1"/>
        </w:rPr>
        <w:t xml:space="preserve">Az előterjesztést a Gazdasági </w:t>
      </w:r>
      <w:r>
        <w:rPr>
          <w:bCs w:val="1"/>
          <w:color w:val="000000" w:themeColor="text1"/>
        </w:rPr>
        <w:t>Bizottság és a Népjóléti Bizottság tárgyalja.</w:t>
      </w:r>
    </w:p>
    <w:p>
      <w:pPr>
        <w:jc w:val="both"/>
        <w:rPr>
          <w:bCs w:val="1"/>
          <w:color w:val="000000" w:themeColor="text1"/>
        </w:rPr>
      </w:pPr>
    </w:p>
    <w:p>
      <w:pPr>
        <w:pStyle w:val="P4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after="120" w:beforeAutospacing="0" w:afterAutospacing="0"/>
        <w:jc w:val="left"/>
        <w:outlineLvl w:val="0"/>
        <w:rPr>
          <w:b w:val="1"/>
          <w:i w:val="0"/>
          <w:bCs w:val="0"/>
          <w:color w:val="000000" w:themeColor="text1"/>
          <w:szCs w:val="24"/>
        </w:rPr>
      </w:pPr>
      <w:r>
        <w:rPr>
          <w:b w:val="1"/>
          <w:i w:val="0"/>
          <w:bCs w:val="0"/>
          <w:color w:val="000000" w:themeColor="text1"/>
          <w:szCs w:val="24"/>
        </w:rPr>
        <w:t xml:space="preserve">IV. Döntési javaslat </w:t>
      </w:r>
    </w:p>
    <w:p>
      <w:pPr>
        <w:jc w:val="both"/>
        <w:rPr>
          <w:b w:val="1"/>
          <w:color w:val="000000" w:themeColor="text1"/>
        </w:rPr>
      </w:pPr>
      <w:r>
        <w:rPr>
          <w:color w:val="000000" w:themeColor="text1"/>
        </w:rPr>
        <w:t>Budapest Főváros XIV. Kerület Zugló Önkormányzata Képviselő-testülete a</w:t>
      </w:r>
      <w:r>
        <w:rPr>
          <w:b w:val="1"/>
          <w:color w:val="000000" w:themeColor="text1"/>
        </w:rPr>
        <w:t xml:space="preserve"> „Budapest Főváros XIV. Kerület Zugló Önkormányzata Intézménye, a Zuglói Egyesített Bölcsődék részére történő élelmiszer és főzési alapanyag beszerzése 2 részben”</w:t>
      </w:r>
      <w:r>
        <w:rPr>
          <w:b w:val="1"/>
          <w:strike w:val="1"/>
          <w:color w:val="000000" w:themeColor="text1"/>
        </w:rPr>
        <w:t xml:space="preserve"> </w:t>
      </w:r>
      <w:r>
        <w:rPr>
          <w:b w:val="1"/>
          <w:color w:val="000000" w:themeColor="text1"/>
        </w:rPr>
        <w:t xml:space="preserve">tárgyú, </w:t>
      </w:r>
      <w:r>
        <w:rPr>
          <w:b w:val="1"/>
          <w:bCs w:val="1"/>
          <w:color w:val="000000" w:themeColor="text1"/>
        </w:rPr>
        <w:t>a közbeszerzésekről szóló 2015. évi CXLIII. törvény szerinti uniós értékhatárt elérő, nyílt közbeszerzési eljárás</w:t>
      </w:r>
      <w:r>
        <w:rPr>
          <w:b w:val="1"/>
          <w:i w:val="1"/>
          <w:bCs w:val="1"/>
          <w:color w:val="000000" w:themeColor="text1"/>
        </w:rPr>
        <w:t xml:space="preserve"> </w:t>
      </w:r>
      <w:r>
        <w:rPr>
          <w:color w:val="000000" w:themeColor="text1"/>
        </w:rPr>
        <w:t>megindításához kapcsolódóan</w:t>
      </w:r>
      <w:r>
        <w:rPr>
          <w:b w:val="1"/>
          <w:color w:val="000000" w:themeColor="text1"/>
        </w:rPr>
        <w:t xml:space="preserve"> </w:t>
      </w:r>
      <w:r>
        <w:rPr>
          <w:color w:val="000000" w:themeColor="text1"/>
        </w:rPr>
        <w:t>az előterjesztés 1. mellékletét képező,</w:t>
      </w:r>
      <w:r>
        <w:rPr>
          <w:b w:val="1"/>
          <w:color w:val="000000" w:themeColor="text1"/>
        </w:rPr>
        <w:t xml:space="preserve"> </w:t>
      </w:r>
      <w:r>
        <w:rPr>
          <w:iCs w:val="1"/>
          <w:color w:val="000000" w:themeColor="text1"/>
        </w:rPr>
        <w:t>önkormányzati határozati javaslatot elfogadja.</w:t>
      </w:r>
    </w:p>
    <w:p>
      <w:pPr>
        <w:jc w:val="both"/>
        <w:rPr>
          <w:color w:val="000000" w:themeColor="text1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A határozathozatalhoz a Magyarország helyi önkormányzatairól szóló 2011. évi CLXXXIX. törvény 42. § 1. pontja és 50. §-a alapján az egyszerű szótöbbség szükséges.</w:t>
      </w:r>
    </w:p>
    <w:p>
      <w:pPr>
        <w:jc w:val="both"/>
        <w:rPr>
          <w:color w:val="000000" w:themeColor="text1"/>
        </w:rPr>
      </w:pPr>
    </w:p>
    <w:p>
      <w:pPr>
        <w:jc w:val="both"/>
        <w:rPr>
          <w:color w:val="000000" w:themeColor="text1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Budapest, 2024. </w:t>
      </w:r>
    </w:p>
    <w:p>
      <w:pPr>
        <w:ind w:left="6381"/>
        <w:jc w:val="center"/>
        <w:rPr>
          <w:b w:val="1"/>
          <w:color w:val="000000" w:themeColor="text1"/>
        </w:rPr>
      </w:pPr>
    </w:p>
    <w:p>
      <w:pPr>
        <w:ind w:left="6381"/>
        <w:jc w:val="center"/>
        <w:rPr>
          <w:b w:val="1"/>
          <w:color w:val="000000" w:themeColor="text1"/>
        </w:rPr>
      </w:pPr>
      <w:r>
        <w:rPr>
          <w:b w:val="1"/>
          <w:color w:val="000000" w:themeColor="text1"/>
        </w:rPr>
        <w:t>Horváth Zsolt</w:t>
      </w:r>
    </w:p>
    <w:p>
      <w:pPr>
        <w:ind w:left="6381"/>
        <w:jc w:val="center"/>
        <w:rPr>
          <w:color w:val="000000" w:themeColor="text1"/>
        </w:rPr>
      </w:pPr>
      <w:r>
        <w:rPr>
          <w:color w:val="000000" w:themeColor="text1"/>
        </w:rPr>
        <w:t>alpolgármester</w:t>
      </w:r>
    </w:p>
    <w:p>
      <w:pPr>
        <w:jc w:val="both"/>
        <w:rPr>
          <w:color w:val="000000" w:themeColor="text1"/>
        </w:rPr>
      </w:pPr>
    </w:p>
    <w:p>
      <w:p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Mellékletek felsorolása: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Határozati javaslat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Előzetes Piaci Konzultáció összefoglaló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Műszaki leírás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Indítólevél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Ajánlati felhívás</w:t>
      </w:r>
    </w:p>
    <w:p>
      <w:pPr>
        <w:pStyle w:val="P20"/>
        <w:numPr>
          <w:ilvl w:val="0"/>
          <w:numId w:val="29"/>
        </w:numPr>
        <w:rPr>
          <w:i w:val="0"/>
          <w:iCs w:val="1"/>
          <w:color w:val="000000" w:themeColor="text1"/>
          <w:szCs w:val="24"/>
        </w:rPr>
      </w:pPr>
      <w:r>
        <w:rPr>
          <w:i w:val="0"/>
          <w:iCs w:val="1"/>
          <w:color w:val="000000" w:themeColor="text1"/>
          <w:szCs w:val="24"/>
        </w:rPr>
        <w:t>melléklet: Adásvételi keretszerződés-tervezet</w:t>
      </w:r>
    </w:p>
    <w:p>
      <w:pPr>
        <w:pStyle w:val="P15"/>
        <w:ind w:left="360"/>
        <w:jc w:val="both"/>
        <w:rPr>
          <w:b w:val="1"/>
          <w:color w:val="000000" w:themeColor="text1"/>
        </w:rPr>
      </w:pPr>
    </w:p>
    <w:p>
      <w:pP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Az előterjesztést készítette: </w:t>
      </w:r>
    </w:p>
    <w:p>
      <w:pPr>
        <w:pStyle w:val="P17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Szegedi Tünde közbeszerzési referens</w:t>
      </w:r>
    </w:p>
    <w:p>
      <w:pPr>
        <w:pStyle w:val="P15"/>
        <w:numPr>
          <w:ilvl w:val="0"/>
          <w:numId w:val="27"/>
        </w:numPr>
        <w:jc w:val="both"/>
        <w:rPr>
          <w:bCs w:val="1"/>
          <w:color w:val="000000" w:themeColor="text1"/>
        </w:rPr>
      </w:pPr>
      <w:r>
        <w:rPr>
          <w:bCs w:val="1"/>
          <w:color w:val="000000" w:themeColor="text1"/>
        </w:rPr>
        <w:t>dr. Varga Dóra ügyvéd, közbeszerzési szakjogász (Ajánlati felhívás, Adásvételi keretszerződés-tervezet)</w:t>
      </w:r>
    </w:p>
    <w:p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>
      <w:pPr>
        <w:pStyle w:val="P4"/>
        <w:numPr>
          <w:ilvl w:val="0"/>
          <w:numId w:val="24"/>
        </w:numPr>
        <w:spacing w:after="120" w:beforeAutospacing="0" w:afterAutospacing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melléklet a 123-474/2024 előterjesztéshez</w:t>
      </w:r>
    </w:p>
    <w:p>
      <w:pPr>
        <w:pStyle w:val="P4"/>
        <w:spacing w:after="120" w:beforeAutospacing="0" w:afterAutospacing="0"/>
        <w:rPr>
          <w:i w:val="0"/>
          <w:color w:val="000000" w:themeColor="text1"/>
          <w:szCs w:val="24"/>
        </w:rPr>
      </w:pPr>
    </w:p>
    <w:p>
      <w:pPr>
        <w:spacing w:lineRule="auto" w:line="276" w:beforeAutospacing="0" w:afterAutospacing="0"/>
        <w:jc w:val="center"/>
        <w:rPr>
          <w:b w:val="1"/>
          <w:color w:val="000000" w:themeColor="text1"/>
        </w:rPr>
      </w:pPr>
      <w:r>
        <w:rPr>
          <w:b w:val="1"/>
          <w:color w:val="000000" w:themeColor="text1"/>
        </w:rPr>
        <w:t>Határozati javaslat</w:t>
      </w:r>
    </w:p>
    <w:p>
      <w:pPr>
        <w:spacing w:lineRule="auto" w:line="276" w:beforeAutospacing="0" w:afterAutospacing="0"/>
        <w:jc w:val="center"/>
        <w:rPr>
          <w:b w:val="1"/>
          <w:color w:val="000000" w:themeColor="text1"/>
        </w:rPr>
      </w:pPr>
    </w:p>
    <w:p>
      <w:pPr>
        <w:spacing w:lineRule="auto" w:line="276" w:beforeAutospacing="0" w:afterAutospacing="0"/>
        <w:jc w:val="center"/>
        <w:rPr>
          <w:b w:val="1"/>
          <w:color w:val="000000" w:themeColor="text1"/>
        </w:rPr>
      </w:pPr>
      <w:r>
        <w:rPr>
          <w:b w:val="1"/>
          <w:color w:val="000000" w:themeColor="text1"/>
        </w:rPr>
        <w:t>Budapest Főváros XIV. Kerület Zugló Önkormányzata Képviselő - testületének</w:t>
      </w:r>
    </w:p>
    <w:p>
      <w:pPr>
        <w:spacing w:lineRule="auto" w:line="276" w:beforeAutospacing="0" w:afterAutospacing="0"/>
        <w:jc w:val="center"/>
        <w:rPr>
          <w:b w:val="1"/>
          <w:color w:val="000000" w:themeColor="text1"/>
        </w:rPr>
      </w:pPr>
      <w:r>
        <w:rPr>
          <w:b w:val="1"/>
          <w:color w:val="000000" w:themeColor="text1"/>
        </w:rPr>
        <w:t>…../2024. (…) önkormányzati határozata</w:t>
      </w:r>
    </w:p>
    <w:p>
      <w:pPr>
        <w:spacing w:lineRule="auto" w:line="276" w:beforeAutospacing="0" w:afterAutospacing="0"/>
        <w:jc w:val="center"/>
        <w:rPr>
          <w:b w:val="1"/>
          <w:color w:val="000000" w:themeColor="text1"/>
        </w:rPr>
      </w:pPr>
    </w:p>
    <w:p>
      <w:pPr>
        <w:spacing w:after="120" w:beforeAutospacing="0" w:afterAutospacing="0"/>
        <w:jc w:val="both"/>
        <w:rPr>
          <w:b w:val="1"/>
          <w:bCs w:val="1"/>
          <w:color w:val="000000" w:themeColor="text1"/>
        </w:rPr>
      </w:pPr>
      <w:r>
        <w:rPr>
          <w:b w:val="1"/>
          <w:color w:val="000000" w:themeColor="text1"/>
        </w:rPr>
        <w:t xml:space="preserve">a „Budapest Főváros XIV. Kerület Zugló Önkormányzata Intézménye, a Zuglói Egyesített Bölcsődék részére történő élelmiszer és főzési alapanyag beszerzése 2 részben” tárgyú, </w:t>
      </w:r>
      <w:r>
        <w:rPr>
          <w:b w:val="1"/>
          <w:bCs w:val="1"/>
          <w:color w:val="000000" w:themeColor="text1"/>
        </w:rPr>
        <w:t>a közbeszerzésekről szóló 2015. évi CXLIII. törvény szerinti uniós értékhatárt elérő értékű nyílt közbeszerzési eljárás</w:t>
      </w:r>
      <w:r>
        <w:rPr>
          <w:b w:val="1"/>
          <w:i w:val="1"/>
          <w:bCs w:val="1"/>
          <w:color w:val="000000" w:themeColor="text1"/>
        </w:rPr>
        <w:t xml:space="preserve"> </w:t>
      </w:r>
      <w:r>
        <w:rPr>
          <w:b w:val="1"/>
          <w:color w:val="000000" w:themeColor="text1"/>
        </w:rPr>
        <w:t>megindításáról</w:t>
      </w:r>
    </w:p>
    <w:p>
      <w:pPr>
        <w:pStyle w:val="P15"/>
        <w:widowControl w:val="0"/>
        <w:ind w:hanging="284" w:left="426"/>
        <w:jc w:val="both"/>
        <w:rPr>
          <w:color w:val="000000" w:themeColor="text1"/>
        </w:rPr>
      </w:pPr>
      <w:r>
        <w:rPr>
          <w:bCs w:val="1"/>
          <w:color w:val="000000" w:themeColor="text1"/>
        </w:rPr>
        <w:t>1. Budapest</w:t>
      </w:r>
      <w:r>
        <w:rPr>
          <w:color w:val="000000" w:themeColor="text1"/>
        </w:rPr>
        <w:t xml:space="preserve"> Főváros XIV. Kerület Zugló Önkormányzata Képviselő-testülete a „</w:t>
      </w:r>
      <w:r>
        <w:rPr>
          <w:b w:val="1"/>
          <w:bCs w:val="1"/>
          <w:color w:val="000000" w:themeColor="text1"/>
        </w:rPr>
        <w:t xml:space="preserve">Budapest Főváros XIV. Kerület Zugló Önkormányzata Intézménye, a Zuglói Egyesített Bölcsődék részére történő élelmiszer és főzési alapanyag beszerzése 2 részben” tárgyú, a </w:t>
      </w:r>
      <w:r>
        <w:rPr>
          <w:b w:val="1"/>
          <w:color w:val="000000" w:themeColor="text1"/>
        </w:rPr>
        <w:t>közbeszerzésekről szóló 2015. évi CXLIII. törvény szerinti uniós értékhatárt elérő értékű nyílt, közbeszerzési eljárást</w:t>
      </w:r>
      <w:r>
        <w:rPr>
          <w:color w:val="000000" w:themeColor="text1"/>
        </w:rPr>
        <w:t xml:space="preserve"> az előterjesztés 2-6. mellékletei szerint megindítja.</w:t>
      </w:r>
      <w:r>
        <w:rPr>
          <w:color w:val="000000" w:themeColor="text1"/>
        </w:rPr>
        <w:t xml:space="preserve"> </w:t>
      </w:r>
    </w:p>
    <w:p>
      <w:pPr>
        <w:jc w:val="center"/>
        <w:rPr>
          <w:color w:val="000000" w:themeColor="text1"/>
        </w:rPr>
      </w:pPr>
    </w:p>
    <w:p>
      <w:pPr>
        <w:tabs>
          <w:tab w:val="left" w:pos="5954" w:leader="none"/>
        </w:tabs>
        <w:jc w:val="both"/>
        <w:rPr>
          <w:b w:val="1"/>
          <w:bCs w:val="1"/>
          <w:color w:val="000000"/>
        </w:rPr>
      </w:pPr>
      <w:bookmarkStart w:id="3" w:name="_Hlk138937058"/>
      <w:r>
        <w:rPr>
          <w:b w:val="1"/>
          <w:bCs w:val="1"/>
          <w:color w:val="000000"/>
        </w:rPr>
        <w:t xml:space="preserve">Határidő: </w:t>
      </w:r>
      <w:r>
        <w:rPr>
          <w:bCs w:val="1"/>
          <w:color w:val="000000"/>
        </w:rPr>
        <w:t>azonnal</w:t>
      </w:r>
    </w:p>
    <w:p>
      <w:pPr>
        <w:widowControl w:val="0"/>
        <w:jc w:val="both"/>
        <w:rPr>
          <w:bCs w:val="1"/>
          <w:color w:val="000000"/>
        </w:rPr>
      </w:pPr>
      <w:r>
        <w:rPr>
          <w:b w:val="1"/>
          <w:bCs w:val="1"/>
          <w:color w:val="000000"/>
        </w:rPr>
        <w:t xml:space="preserve">Felelős: </w:t>
      </w:r>
      <w:r>
        <w:rPr>
          <w:bCs w:val="1"/>
          <w:color w:val="000000"/>
        </w:rPr>
        <w:t>Polgármester (Üzemeltetési Főosztály útján)</w:t>
      </w:r>
      <w:bookmarkEnd w:id="3"/>
    </w:p>
    <w:p>
      <w:pPr>
        <w:widowControl w:val="0"/>
        <w:jc w:val="both"/>
        <w:rPr>
          <w:bCs w:val="1"/>
          <w:color w:val="000000"/>
        </w:rPr>
      </w:pPr>
    </w:p>
    <w:p>
      <w:pPr>
        <w:widowControl w:val="0"/>
        <w:ind w:hanging="425" w:left="567"/>
        <w:jc w:val="both"/>
        <w:rPr>
          <w:color w:val="000000"/>
        </w:rPr>
      </w:pPr>
      <w:r>
        <w:rPr>
          <w:color w:val="000000"/>
        </w:rPr>
        <w:t>2. A Zuglói Egyesített Bölcsődék 2024. évi költségvetésében a közbeszerzés 2024. évi pénzügyi forrása rendelkezésre áll. A szerződés költségvetési fedezetét a 2025. és 2026. évi költségvetésébe tervezni szükséges</w:t>
      </w:r>
      <w:r>
        <w:rPr>
          <w:rFonts w:ascii="Times New Roman" w:hAnsi="Times New Roman"/>
          <w:color w:val="000000"/>
          <w:sz w:val="24"/>
          <w:u w:val="none"/>
        </w:rPr>
        <w:t>, amire a Képviselő-testület kötelezettséget vállal</w:t>
      </w:r>
      <w:r>
        <w:rPr>
          <w:color w:val="000000"/>
        </w:rPr>
        <w:t>.</w:t>
      </w:r>
    </w:p>
    <w:p>
      <w:pPr>
        <w:widowControl w:val="0"/>
        <w:spacing w:lineRule="auto" w:line="360" w:beforeAutospacing="0" w:afterAutospacing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 w:val="1"/>
          <w:color w:val="000000"/>
        </w:rPr>
        <w:t>Határidő</w:t>
      </w:r>
      <w:r>
        <w:rPr>
          <w:color w:val="000000"/>
        </w:rPr>
        <w:t xml:space="preserve">: éves költségvetés tervezése </w:t>
      </w:r>
    </w:p>
    <w:p>
      <w:pPr>
        <w:tabs>
          <w:tab w:val="left" w:pos="5954" w:leader="none"/>
        </w:tabs>
        <w:jc w:val="both"/>
        <w:rPr>
          <w:color w:val="000000"/>
        </w:rPr>
      </w:pPr>
      <w:r>
        <w:rPr>
          <w:b w:val="1"/>
          <w:color w:val="000000"/>
        </w:rPr>
        <w:t>Felelős</w:t>
      </w:r>
      <w:r>
        <w:rPr>
          <w:color w:val="000000"/>
        </w:rPr>
        <w:t>: Zuglói Egyesített Bölcsődék vezetője</w:t>
      </w:r>
    </w:p>
    <w:p>
      <w:pPr>
        <w:jc w:val="both"/>
        <w:rPr>
          <w:color w:val="000000" w:themeColor="text1"/>
        </w:rPr>
      </w:pPr>
    </w:p>
    <w:p>
      <w:pPr>
        <w:pStyle w:val="P15"/>
        <w:rPr>
          <w:color w:val="000000" w:themeColor="text1"/>
          <w:highlight w:val="yellow"/>
        </w:rPr>
      </w:pPr>
    </w:p>
    <w:p>
      <w:pPr>
        <w:pStyle w:val="P15"/>
        <w:ind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>
      <w:pPr>
        <w:rPr>
          <w:bCs w:val="1"/>
          <w:color w:val="000000" w:themeColor="text1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17" w:right="1417" w:top="1417" w:bottom="1134" w:header="708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7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7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7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7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4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4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4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4"/>
    </w:pPr>
  </w:p>
</w:hdr>
</file>

<file path=word/numbering.xml><?xml version="1.0" encoding="utf-8"?>
<w:numbering xmlns:w="http://schemas.openxmlformats.org/wordprocessingml/2006/main">
  <w:abstractNum w:abstractNumId="0">
    <w:nsid w:val="00000002"/>
    <w:multiLevelType w:val="multilevel"/>
    <w:lvl w:ilvl="0">
      <w:start w:val="1"/>
      <w:numFmt w:val="decimal"/>
      <w:pStyle w:val="P18"/>
      <w:suff w:val="space"/>
      <w:lvlText w:val="%1."/>
      <w:lvlJc w:val="left"/>
      <w:pPr>
        <w:ind w:hanging="432" w:left="432"/>
      </w:pPr>
      <w:rPr>
        <w:rFonts w:ascii="Times New Roman" w:hAnsi="Times New Roman"/>
        <w:b w:val="1"/>
        <w:color w:val="auto"/>
      </w:rPr>
    </w:lvl>
    <w:lvl w:ilvl="1">
      <w:start w:val="1"/>
      <w:numFmt w:val="none"/>
      <w:suff w:val="nothing"/>
      <w:lvlText w:val=""/>
      <w:lvlJc w:val="left"/>
      <w:pPr>
        <w:ind w:hanging="576" w:left="576"/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</w:pPr>
      <w:rPr/>
    </w:lvl>
  </w:abstractNum>
  <w:abstractNum w:abstractNumId="1">
    <w:nsid w:val="00EF09CE"/>
    <w:multiLevelType w:val="hybridMultilevel"/>
    <w:lvl w:ilvl="0" w:tplc="6C6AA2EE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5C0D002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AD121E8"/>
    <w:multiLevelType w:val="hybridMultilevel"/>
    <w:lvl w:ilvl="0" w:tplc="DF66F50C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05658F1"/>
    <w:multiLevelType w:val="hybridMultilevel"/>
    <w:lvl w:ilvl="0" w:tplc="7736C30E">
      <w:start w:val="1"/>
      <w:numFmt w:val="decimal"/>
      <w:suff w:val="tab"/>
      <w:lvlText w:val="%1."/>
      <w:lvlJc w:val="left"/>
      <w:pPr>
        <w:ind w:hanging="360" w:left="600"/>
        <w:tabs>
          <w:tab w:val="num" w:pos="60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320"/>
        <w:tabs>
          <w:tab w:val="num" w:pos="132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040"/>
        <w:tabs>
          <w:tab w:val="num" w:pos="204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760"/>
        <w:tabs>
          <w:tab w:val="num" w:pos="276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480"/>
        <w:tabs>
          <w:tab w:val="num" w:pos="348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200"/>
        <w:tabs>
          <w:tab w:val="num" w:pos="420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920"/>
        <w:tabs>
          <w:tab w:val="num" w:pos="492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640"/>
        <w:tabs>
          <w:tab w:val="num" w:pos="564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360"/>
        <w:tabs>
          <w:tab w:val="num" w:pos="6360" w:leader="none"/>
        </w:tabs>
      </w:pPr>
      <w:rPr/>
    </w:lvl>
  </w:abstractNum>
  <w:abstractNum w:abstractNumId="4">
    <w:nsid w:val="15E527B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7B94921"/>
    <w:multiLevelType w:val="hybridMultilevel"/>
    <w:lvl w:ilvl="0" w:tplc="D4DEED28">
      <w:start w:val="1"/>
      <w:numFmt w:val="lowerLetter"/>
      <w:suff w:val="tab"/>
      <w:lvlText w:val="%1)"/>
      <w:lvlJc w:val="left"/>
      <w:pPr>
        <w:ind w:hanging="615" w:left="975"/>
        <w:tabs>
          <w:tab w:val="num" w:pos="975" w:leader="none"/>
        </w:tabs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>
        <w:rFonts w:ascii="Times New Roman" w:hAnsi="Times New Roman"/>
      </w:rPr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>
        <w:rFonts w:ascii="Times New Roman" w:hAnsi="Times New Roman"/>
      </w:rPr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>
        <w:rFonts w:ascii="Times New Roman" w:hAnsi="Times New Roman"/>
      </w:rPr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>
        <w:rFonts w:ascii="Times New Roman" w:hAnsi="Times New Roman"/>
      </w:rPr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>
        <w:rFonts w:ascii="Times New Roman" w:hAnsi="Times New Roman"/>
      </w:rPr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>
        <w:rFonts w:ascii="Times New Roman" w:hAnsi="Times New Roman"/>
      </w:rPr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>
        <w:rFonts w:ascii="Times New Roman" w:hAnsi="Times New Roman"/>
      </w:rPr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6">
    <w:nsid w:val="198C5794"/>
    <w:multiLevelType w:val="hybridMultilevel"/>
    <w:lvl w:ilvl="0" w:tplc="B08C866C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7">
    <w:nsid w:val="241033B5"/>
    <w:multiLevelType w:val="hybridMultilevel"/>
    <w:lvl w:ilvl="0" w:tplc="5F12D26C">
      <w:start w:val="2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8">
    <w:nsid w:val="2521234E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55E362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959765E"/>
    <w:multiLevelType w:val="hybridMultilevel"/>
    <w:lvl w:ilvl="0" w:tplc="F7A899E4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1">
    <w:nsid w:val="2AAC3F18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4"/>
      <w:numFmt w:val="decimal"/>
      <w:suff w:val="tab"/>
      <w:lvlText w:val="%1.%2"/>
      <w:lvlJc w:val="left"/>
      <w:pPr>
        <w:ind w:hanging="360" w:left="1069"/>
      </w:pPr>
      <w:rPr/>
    </w:lvl>
    <w:lvl w:ilvl="2">
      <w:start w:val="1"/>
      <w:numFmt w:val="decimal"/>
      <w:suff w:val="tab"/>
      <w:lvlText w:val="%1.%2.%3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47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25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694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03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7112"/>
      </w:pPr>
      <w:rPr/>
    </w:lvl>
  </w:abstractNum>
  <w:abstractNum w:abstractNumId="12">
    <w:nsid w:val="332C608C"/>
    <w:multiLevelType w:val="hybridMultilevel"/>
    <w:lvl w:ilvl="0" w:tplc="757229CA">
      <w:start w:val="1"/>
      <w:numFmt w:val="decimal"/>
      <w:suff w:val="tab"/>
      <w:lvlText w:val="%1.)"/>
      <w:lvlJc w:val="left"/>
      <w:pPr>
        <w:ind w:hanging="360" w:left="720"/>
      </w:pPr>
      <w:rPr>
        <w:b w:val="0"/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35082311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803075F"/>
    <w:multiLevelType w:val="hybridMultilevel"/>
    <w:lvl w:ilvl="0" w:tplc="98E4F05A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392E5FD2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3BC65BD0"/>
    <w:multiLevelType w:val="multilevel"/>
    <w:lvl w:ilvl="0">
      <w:start w:val="2"/>
      <w:numFmt w:val="decimal"/>
      <w:suff w:val="tab"/>
      <w:lvlText w:val="%1."/>
      <w:lvlJc w:val="left"/>
      <w:pPr>
        <w:ind w:hanging="705" w:left="705"/>
      </w:pPr>
      <w:rPr/>
    </w:lvl>
    <w:lvl w:ilvl="1">
      <w:start w:val="1"/>
      <w:numFmt w:val="decimal"/>
      <w:isLgl w:val="1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isLgl w:val="1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isLgl w:val="1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isLgl w:val="1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isLgl w:val="1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isLgl w:val="1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isLgl w:val="1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isLgl w:val="1"/>
      <w:suff w:val="tab"/>
      <w:lvlText w:val="%1.%2.%3.%4.%5.%6.%7.%8.%9"/>
      <w:lvlJc w:val="left"/>
      <w:pPr>
        <w:ind w:hanging="1800" w:left="1800"/>
      </w:pPr>
      <w:rPr/>
    </w:lvl>
  </w:abstractNum>
  <w:abstractNum w:abstractNumId="17">
    <w:nsid w:val="40DE3521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8">
    <w:nsid w:val="47140F69"/>
    <w:multiLevelType w:val="hybridMultilevel"/>
    <w:lvl w:ilvl="0" w:tplc="757229CA">
      <w:start w:val="1"/>
      <w:numFmt w:val="decimal"/>
      <w:suff w:val="tab"/>
      <w:lvlText w:val="%1.)"/>
      <w:lvlJc w:val="left"/>
      <w:pPr>
        <w:ind w:hanging="360" w:left="720"/>
      </w:pPr>
      <w:rPr>
        <w:b w:val="0"/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481C1BFD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8762976"/>
    <w:multiLevelType w:val="hybridMultilevel"/>
    <w:lvl w:ilvl="0" w:tplc="757229CA">
      <w:start w:val="1"/>
      <w:numFmt w:val="decimal"/>
      <w:suff w:val="tab"/>
      <w:lvlText w:val="%1.)"/>
      <w:lvlJc w:val="left"/>
      <w:pPr>
        <w:ind w:hanging="360" w:left="720"/>
      </w:pPr>
      <w:rPr>
        <w:b w:val="0"/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4B5D6AA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4ECF2A30"/>
    <w:multiLevelType w:val="hybridMultilevel"/>
    <w:lvl w:ilvl="0" w:tplc="B254F2DC">
      <w:start w:val="1"/>
      <w:numFmt w:val="lowerLetter"/>
      <w:suff w:val="tab"/>
      <w:lvlText w:val="%1)"/>
      <w:lvlJc w:val="left"/>
      <w:pPr>
        <w:ind w:hanging="360" w:left="1495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50260193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4">
    <w:nsid w:val="532C7AB3"/>
    <w:multiLevelType w:val="hybridMultilevel"/>
    <w:lvl w:ilvl="0" w:tplc="35008A76">
      <w:start w:val="8"/>
      <w:numFmt w:val="lowerLetter"/>
      <w:suff w:val="tab"/>
      <w:lvlText w:val="%1)"/>
      <w:lvlJc w:val="left"/>
      <w:pPr>
        <w:ind w:hanging="360" w:left="360"/>
        <w:tabs>
          <w:tab w:val="num" w:pos="36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080"/>
        <w:tabs>
          <w:tab w:val="num" w:pos="108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1800"/>
        <w:tabs>
          <w:tab w:val="num" w:pos="180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520"/>
        <w:tabs>
          <w:tab w:val="num" w:pos="252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240"/>
        <w:tabs>
          <w:tab w:val="num" w:pos="324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3960"/>
        <w:tabs>
          <w:tab w:val="num" w:pos="396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680"/>
        <w:tabs>
          <w:tab w:val="num" w:pos="468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400"/>
        <w:tabs>
          <w:tab w:val="num" w:pos="540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120"/>
        <w:tabs>
          <w:tab w:val="num" w:pos="6120" w:leader="none"/>
        </w:tabs>
      </w:pPr>
      <w:rPr/>
    </w:lvl>
  </w:abstractNum>
  <w:abstractNum w:abstractNumId="25">
    <w:nsid w:val="557B2235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56B07342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5ED97354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631E33E7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647E741B"/>
    <w:multiLevelType w:val="hybridMultilevel"/>
    <w:lvl w:ilvl="0" w:tplc="8C68F8DC">
      <w:start w:val="1"/>
      <w:numFmt w:val="decimal"/>
      <w:suff w:val="tab"/>
      <w:lvlText w:val="%1."/>
      <w:lvlJc w:val="left"/>
      <w:pPr>
        <w:ind w:hanging="390" w:left="532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796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1516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236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2956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3676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4396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116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5836"/>
      </w:pPr>
      <w:rPr/>
    </w:lvl>
  </w:abstractNum>
  <w:abstractNum w:abstractNumId="30">
    <w:nsid w:val="68137E7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68DF080F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2">
    <w:nsid w:val="71034994"/>
    <w:multiLevelType w:val="hybridMultilevel"/>
    <w:lvl w:ilvl="0" w:tplc="35008A76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3">
    <w:nsid w:val="72102A3A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51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59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66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73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80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87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95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102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10940"/>
      </w:pPr>
      <w:rPr/>
    </w:lvl>
  </w:abstractNum>
  <w:abstractNum w:abstractNumId="34">
    <w:nsid w:val="76125B7D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76FA1FD2"/>
    <w:multiLevelType w:val="hybridMultilevel"/>
    <w:lvl w:ilvl="0" w:tplc="25604974">
      <w:start w:val="1"/>
      <w:numFmt w:val="lowerLetter"/>
      <w:suff w:val="tab"/>
      <w:lvlText w:val="%1)"/>
      <w:lvlJc w:val="left"/>
      <w:pPr>
        <w:ind w:hanging="360" w:left="720"/>
        <w:tabs>
          <w:tab w:val="num" w:pos="720" w:leader="none"/>
        </w:tabs>
      </w:pPr>
      <w:rPr>
        <w:b w:val="1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6">
    <w:nsid w:val="77E445A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">
    <w:nsid w:val="78506D65"/>
    <w:multiLevelType w:val="hybridMultilevel"/>
    <w:lvl w:ilvl="0" w:tplc="757229CA">
      <w:start w:val="1"/>
      <w:numFmt w:val="decimal"/>
      <w:suff w:val="tab"/>
      <w:lvlText w:val="%1.)"/>
      <w:lvlJc w:val="left"/>
      <w:pPr>
        <w:ind w:hanging="360" w:left="720"/>
      </w:pPr>
      <w:rPr>
        <w:b w:val="0"/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">
    <w:nsid w:val="78F4730D"/>
    <w:multiLevelType w:val="hybridMultilevel"/>
    <w:lvl w:ilvl="0" w:tplc="E2A09290">
      <w:start w:val="1"/>
      <w:numFmt w:val="decimal"/>
      <w:suff w:val="tab"/>
      <w:lvlText w:val="%1."/>
      <w:lvlJc w:val="left"/>
      <w:pPr>
        <w:ind w:hanging="360" w:left="502"/>
      </w:pPr>
      <w:rPr>
        <w:color w:val="auto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">
    <w:nsid w:val="78F5247B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0">
    <w:nsid w:val="7DDE01FE"/>
    <w:multiLevelType w:val="multilevel"/>
    <w:lvl w:ilvl="0">
      <w:start w:val="2"/>
      <w:numFmt w:val="decimal"/>
      <w:suff w:val="tab"/>
      <w:lvlText w:val="%1"/>
      <w:lvlJc w:val="left"/>
      <w:pPr>
        <w:ind w:hanging="360" w:left="360"/>
      </w:pPr>
      <w:rPr/>
    </w:lvl>
    <w:lvl w:ilvl="1">
      <w:start w:val="5"/>
      <w:numFmt w:val="decimal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num w:numId="1">
    <w:abstractNumId w:val="31"/>
  </w:num>
  <w:num w:numId="2">
    <w:abstractNumId w:val="5"/>
  </w:num>
  <w:num w:numId="3">
    <w:abstractNumId w:val="35"/>
  </w:num>
  <w:num w:numId="4">
    <w:abstractNumId w:val="32"/>
  </w:num>
  <w:num w:numId="5">
    <w:abstractNumId w:val="24"/>
  </w:num>
  <w:num w:numId="6">
    <w:abstractNumId w:val="23"/>
  </w:num>
  <w:num w:numId="7">
    <w:abstractNumId w:val="3"/>
  </w:num>
  <w:num w:numId="8">
    <w:abstractNumId w:val="36"/>
  </w:num>
  <w:num w:numId="9">
    <w:abstractNumId w:val="30"/>
  </w:num>
  <w:num w:numId="10">
    <w:abstractNumId w:val="16"/>
  </w:num>
  <w:num w:numId="11">
    <w:abstractNumId w:val="40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 w:numId="17">
    <w:abstractNumId w:val="17"/>
  </w:num>
  <w:num w:numId="18">
    <w:abstractNumId w:val="25"/>
  </w:num>
  <w:num w:numId="19">
    <w:abstractNumId w:val="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0"/>
  </w:num>
  <w:num w:numId="23">
    <w:abstractNumId w:val="1"/>
  </w:num>
  <w:num w:numId="24">
    <w:abstractNumId w:val="33"/>
  </w:num>
  <w:num w:numId="25">
    <w:abstractNumId w:val="4"/>
  </w:num>
  <w:num w:numId="26">
    <w:abstractNumId w:val="27"/>
  </w:num>
  <w:num w:numId="27">
    <w:abstractNumId w:val="1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  <w:num w:numId="31">
    <w:abstractNumId w:val="18"/>
  </w:num>
  <w:num w:numId="32">
    <w:abstractNumId w:val="37"/>
  </w:num>
  <w:num w:numId="33">
    <w:abstractNumId w:val="28"/>
  </w:num>
  <w:num w:numId="34">
    <w:abstractNumId w:val="12"/>
  </w:num>
  <w:num w:numId="35">
    <w:abstractNumId w:val="21"/>
  </w:num>
  <w:num w:numId="36">
    <w:abstractNumId w:val="13"/>
  </w:num>
  <w:num w:numId="37">
    <w:abstractNumId w:val="19"/>
  </w:num>
  <w:num w:numId="38">
    <w:abstractNumId w:val="26"/>
  </w:num>
  <w:num w:numId="39">
    <w:abstractNumId w:val="8"/>
  </w:num>
  <w:num w:numId="40">
    <w:abstractNumId w:val="39"/>
  </w:num>
  <w:num w:numId="41">
    <w:abstractNumId w:val="29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paragraph" w:styleId="P1">
    <w:name w:val="heading 5"/>
    <w:basedOn w:val="P0"/>
    <w:next w:val="P0"/>
    <w:qFormat/>
    <w:pPr>
      <w:keepNext w:val="1"/>
      <w:widowControl w:val="0"/>
      <w:jc w:val="center"/>
      <w:outlineLvl w:val="4"/>
    </w:pPr>
    <w:rPr>
      <w:rFonts w:ascii="Arial" w:hAnsi="Arial"/>
      <w:noProof w:val="1"/>
      <w:color w:val="000080"/>
    </w:rPr>
  </w:style>
  <w:style w:type="paragraph" w:styleId="P2">
    <w:name w:val="heading 8"/>
    <w:basedOn w:val="P0"/>
    <w:next w:val="P0"/>
    <w:qFormat/>
    <w:pPr>
      <w:keepNext w:val="1"/>
      <w:outlineLvl w:val="7"/>
    </w:pPr>
    <w:rPr/>
  </w:style>
  <w:style w:type="paragraph" w:styleId="P3">
    <w:name w:val="Normal (Web)"/>
    <w:basedOn w:val="P0"/>
    <w:semiHidden/>
    <w:pPr>
      <w:spacing w:before="100" w:after="100" w:beforeAutospacing="1" w:afterAutospacing="1"/>
    </w:pPr>
    <w:rPr>
      <w:bCs w:val="1"/>
    </w:rPr>
  </w:style>
  <w:style w:type="paragraph" w:styleId="P4">
    <w:name w:val="Szövegtörzs 31"/>
    <w:basedOn w:val="P0"/>
    <w:pPr>
      <w:jc w:val="both"/>
    </w:pPr>
    <w:rPr>
      <w:i w:val="1"/>
      <w:bCs w:val="1"/>
      <w:szCs w:val="20"/>
    </w:rPr>
  </w:style>
  <w:style w:type="paragraph" w:styleId="P5">
    <w:name w:val="Body Text"/>
    <w:basedOn w:val="P0"/>
    <w:semiHidden/>
    <w:pPr>
      <w:jc w:val="both"/>
    </w:pPr>
    <w:rPr>
      <w:bCs w:val="1"/>
    </w:rPr>
  </w:style>
  <w:style w:type="paragraph" w:styleId="P6">
    <w:name w:val="bodytext3"/>
    <w:basedOn w:val="P0"/>
    <w:pPr>
      <w:spacing w:before="100" w:after="100" w:beforeAutospacing="1" w:afterAutospacing="1"/>
    </w:pPr>
    <w:rPr/>
  </w:style>
  <w:style w:type="paragraph" w:styleId="P7">
    <w:name w:val="footer"/>
    <w:basedOn w:val="P0"/>
    <w:semiHidden/>
    <w:pPr>
      <w:tabs>
        <w:tab w:val="center" w:pos="4536" w:leader="none"/>
        <w:tab w:val="right" w:pos="9072" w:leader="none"/>
      </w:tabs>
    </w:pPr>
    <w:rPr/>
  </w:style>
  <w:style w:type="paragraph" w:styleId="P8">
    <w:name w:val="Body Text Indent"/>
    <w:basedOn w:val="P0"/>
    <w:semiHidden/>
    <w:pPr>
      <w:jc w:val="both"/>
    </w:pPr>
    <w:rPr>
      <w:color w:val="008000"/>
    </w:rPr>
  </w:style>
  <w:style w:type="paragraph" w:styleId="P9">
    <w:name w:val="Body Text 3"/>
    <w:basedOn w:val="P0"/>
    <w:semiHidden/>
    <w:pPr>
      <w:jc w:val="both"/>
    </w:pPr>
    <w:rPr>
      <w:i w:val="1"/>
      <w:iCs w:val="1"/>
    </w:rPr>
  </w:style>
  <w:style w:type="paragraph" w:styleId="P10">
    <w:name w:val="toc 2"/>
    <w:basedOn w:val="P0"/>
    <w:next w:val="P0"/>
    <w:semiHidden/>
    <w:pPr>
      <w:jc w:val="center"/>
    </w:pPr>
    <w:rPr/>
  </w:style>
  <w:style w:type="paragraph" w:styleId="P11">
    <w:name w:val="Body Text 2"/>
    <w:basedOn w:val="P0"/>
    <w:semiHidden/>
    <w:pPr>
      <w:jc w:val="both"/>
    </w:pPr>
    <w:rPr>
      <w:sz w:val="20"/>
      <w:szCs w:val="20"/>
    </w:rPr>
  </w:style>
  <w:style w:type="paragraph" w:styleId="P12">
    <w:name w:val="Stílus1"/>
    <w:basedOn w:val="P0"/>
    <w:pPr>
      <w:jc w:val="both"/>
    </w:pPr>
    <w:rPr>
      <w:rFonts w:ascii="Arial" w:hAnsi="Arial"/>
      <w:sz w:val="22"/>
      <w:szCs w:val="22"/>
    </w:rPr>
  </w:style>
  <w:style w:type="paragraph" w:styleId="P13">
    <w:name w:val="Hivatkozás"/>
    <w:basedOn w:val="P5"/>
    <w:pPr/>
    <w:rPr>
      <w:bCs w:val="0"/>
    </w:rPr>
  </w:style>
  <w:style w:type="paragraph" w:styleId="P14">
    <w:name w:val="header"/>
    <w:basedOn w:val="P0"/>
    <w:pPr>
      <w:tabs>
        <w:tab w:val="center" w:pos="4536" w:leader="none"/>
        <w:tab w:val="right" w:pos="9072" w:leader="none"/>
      </w:tabs>
    </w:pPr>
    <w:rPr/>
  </w:style>
  <w:style w:type="paragraph" w:styleId="P15">
    <w:name w:val="List Paragraph"/>
    <w:basedOn w:val="P0"/>
    <w:qFormat/>
    <w:pPr>
      <w:ind w:left="720"/>
      <w:contextualSpacing w:val="1"/>
    </w:pPr>
    <w:rPr/>
  </w:style>
  <w:style w:type="paragraph" w:styleId="P16">
    <w:name w:val="Balloon Text"/>
    <w:basedOn w:val="P0"/>
    <w:link w:val="C4"/>
    <w:semiHidden/>
    <w:pPr/>
    <w:rPr>
      <w:rFonts w:ascii="Tahoma" w:hAnsi="Tahoma"/>
      <w:sz w:val="16"/>
      <w:szCs w:val="16"/>
    </w:rPr>
  </w:style>
  <w:style w:type="paragraph" w:styleId="P17">
    <w:name w:val="bekezdés"/>
    <w:basedOn w:val="P5"/>
    <w:link w:val="C5"/>
    <w:qFormat/>
    <w:pPr>
      <w:suppressAutoHyphens w:val="1"/>
      <w:spacing w:before="40" w:after="40" w:beforeAutospacing="0" w:afterAutospacing="0"/>
      <w:ind w:firstLine="284"/>
    </w:pPr>
    <w:rPr>
      <w:bCs w:val="0"/>
      <w:lang w:bidi="hi-IN" w:eastAsia="zh-CN"/>
    </w:rPr>
  </w:style>
  <w:style w:type="paragraph" w:styleId="P18">
    <w:name w:val="szakasz"/>
    <w:basedOn w:val="P5"/>
    <w:link w:val="C6"/>
    <w:qFormat/>
    <w:pPr>
      <w:numPr>
        <w:numId w:val="22"/>
      </w:numPr>
      <w:suppressAutoHyphens w:val="1"/>
      <w:spacing w:before="80" w:after="40" w:beforeAutospacing="0" w:afterAutospacing="0"/>
      <w:ind w:firstLine="284" w:left="0"/>
    </w:pPr>
    <w:rPr>
      <w:bCs w:val="0"/>
      <w:lang w:bidi="hi-IN" w:eastAsia="zh-CN"/>
    </w:rPr>
  </w:style>
  <w:style w:type="paragraph" w:styleId="P19">
    <w:name w:val="Revision"/>
    <w:hidden/>
    <w:semiHidden/>
    <w:pPr/>
    <w:rPr>
      <w:sz w:val="24"/>
      <w:szCs w:val="24"/>
    </w:rPr>
  </w:style>
  <w:style w:type="paragraph" w:styleId="P20">
    <w:name w:val="Body Text 32"/>
    <w:basedOn w:val="P0"/>
    <w:pPr>
      <w:jc w:val="both"/>
    </w:pPr>
    <w:rPr>
      <w:i w:val="1"/>
      <w:szCs w:val="20"/>
    </w:rPr>
  </w:style>
  <w:style w:type="paragraph" w:styleId="P21">
    <w:name w:val="Body Text Indent 3"/>
    <w:basedOn w:val="P0"/>
    <w:link w:val="C7"/>
    <w:pPr>
      <w:spacing w:after="120" w:beforeAutospacing="0" w:afterAutospacing="0"/>
      <w:ind w:left="283"/>
    </w:pPr>
    <w:rPr>
      <w:sz w:val="16"/>
      <w:szCs w:val="16"/>
    </w:rPr>
  </w:style>
  <w:style w:type="paragraph" w:styleId="P22">
    <w:name w:val="No Spacing"/>
    <w:qFormat/>
    <w:pPr>
      <w:ind w:hanging="357" w:left="714"/>
      <w:jc w:val="both"/>
    </w:pPr>
    <w:rPr>
      <w:sz w:val="24"/>
      <w:szCs w:val="24"/>
    </w:rPr>
  </w:style>
  <w:style w:type="paragraph" w:styleId="P23">
    <w:name w:val="annotation text"/>
    <w:basedOn w:val="P0"/>
    <w:link w:val="C9"/>
    <w:semiHidden/>
    <w:pPr/>
    <w:rPr>
      <w:sz w:val="20"/>
      <w:szCs w:val="20"/>
    </w:rPr>
  </w:style>
  <w:style w:type="paragraph" w:styleId="P24">
    <w:name w:val="annotation subject"/>
    <w:basedOn w:val="P23"/>
    <w:next w:val="P23"/>
    <w:link w:val="C10"/>
    <w:semiHidden/>
    <w:pPr/>
    <w:rPr>
      <w:b w:val="1"/>
      <w:bCs w:val="1"/>
    </w:rPr>
  </w:style>
  <w:style w:type="paragraph" w:styleId="P25">
    <w:name w:val="Szövegtörzs 32"/>
    <w:basedOn w:val="P0"/>
    <w:pPr>
      <w:jc w:val="both"/>
    </w:pPr>
    <w:rPr>
      <w:i w:val="1"/>
      <w:szCs w:val="20"/>
    </w:rPr>
  </w:style>
  <w:style w:type="paragraph" w:styleId="P26">
    <w:name w:val="Char Char Char Char Char Char1 Char Char Char Char Char Char Char"/>
    <w:basedOn w:val="P0"/>
    <w:pPr>
      <w:spacing w:lineRule="exact" w:line="240" w:after="160" w:beforeAutospacing="0" w:afterAutospacing="0"/>
    </w:pPr>
    <w:rPr>
      <w:rFonts w:ascii="Tahoma" w:hAnsi="Tahoma"/>
      <w:sz w:val="20"/>
      <w:szCs w:val="20"/>
      <w:lang w:val="en-US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page number"/>
    <w:basedOn w:val="C0"/>
    <w:semiHidden/>
    <w:rPr/>
  </w:style>
  <w:style w:type="character" w:styleId="C4">
    <w:name w:val="Buborékszöveg Char"/>
    <w:basedOn w:val="C0"/>
    <w:link w:val="P16"/>
    <w:semiHidden/>
    <w:rPr>
      <w:rFonts w:ascii="Tahoma" w:hAnsi="Tahoma"/>
      <w:sz w:val="16"/>
      <w:szCs w:val="16"/>
    </w:rPr>
  </w:style>
  <w:style w:type="character" w:styleId="C5">
    <w:name w:val="bekezdés Char"/>
    <w:link w:val="P17"/>
    <w:rPr>
      <w:bCs w:val="0"/>
      <w:lang w:bidi="hi-IN" w:eastAsia="zh-CN"/>
    </w:rPr>
  </w:style>
  <w:style w:type="character" w:styleId="C6">
    <w:name w:val="szakasz Char"/>
    <w:link w:val="P18"/>
    <w:rPr>
      <w:bCs w:val="0"/>
      <w:lang w:bidi="hi-IN" w:eastAsia="zh-CN"/>
    </w:rPr>
  </w:style>
  <w:style w:type="character" w:styleId="C7">
    <w:name w:val="Szövegtörzs behúzással 3 Char"/>
    <w:basedOn w:val="C0"/>
    <w:link w:val="P21"/>
    <w:rPr>
      <w:sz w:val="16"/>
      <w:szCs w:val="16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Jegyzetszöveg Char"/>
    <w:basedOn w:val="C0"/>
    <w:link w:val="P23"/>
    <w:semiHidden/>
    <w:rPr>
      <w:sz w:val="20"/>
      <w:szCs w:val="20"/>
    </w:rPr>
  </w:style>
  <w:style w:type="character" w:styleId="C10">
    <w:name w:val="Megjegyzés tárgya Char"/>
    <w:basedOn w:val="C9"/>
    <w:link w:val="P24"/>
    <w:semiHidden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jusztin</dc:creator>
  <dcterms:created xsi:type="dcterms:W3CDTF">2024-08-27T08:22:00Z</dcterms:created>
  <cp:lastModifiedBy>IIS APPPOOL\testulet</cp:lastModifiedBy>
  <cp:lastPrinted>2024-02-08T08:02:00Z</cp:lastPrinted>
  <dcterms:modified xsi:type="dcterms:W3CDTF">2024-08-28T19:38:28Z</dcterms:modified>
  <cp:revision>6</cp:revision>
</cp:coreProperties>
</file>