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15" w:rsidRPr="00993AA5" w:rsidRDefault="008E2738" w:rsidP="009D621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4</w:t>
      </w:r>
      <w:r w:rsidR="009D6215" w:rsidRPr="00993AA5">
        <w:rPr>
          <w:rFonts w:eastAsia="Calibri" w:cs="Times New Roman"/>
          <w:i/>
          <w:szCs w:val="24"/>
        </w:rPr>
        <w:t>. melléklet 123-</w:t>
      </w:r>
      <w:r w:rsidR="008602F7">
        <w:rPr>
          <w:rFonts w:eastAsia="Calibri" w:cs="Times New Roman"/>
          <w:i/>
          <w:szCs w:val="24"/>
        </w:rPr>
        <w:t xml:space="preserve">425 </w:t>
      </w:r>
      <w:bookmarkStart w:id="0" w:name="_GoBack"/>
      <w:bookmarkEnd w:id="0"/>
      <w:r w:rsidR="009D6215" w:rsidRPr="00993AA5">
        <w:rPr>
          <w:rFonts w:eastAsia="Calibri" w:cs="Times New Roman"/>
          <w:i/>
          <w:szCs w:val="24"/>
        </w:rPr>
        <w:t>/202</w:t>
      </w:r>
      <w:r w:rsidR="009D6215">
        <w:rPr>
          <w:rFonts w:eastAsia="Calibri" w:cs="Times New Roman"/>
          <w:i/>
          <w:szCs w:val="24"/>
        </w:rPr>
        <w:t>4</w:t>
      </w:r>
      <w:r w:rsidR="009D6215" w:rsidRPr="00993AA5">
        <w:rPr>
          <w:rFonts w:eastAsia="Calibri" w:cs="Times New Roman"/>
          <w:i/>
          <w:szCs w:val="24"/>
        </w:rPr>
        <w:t>. előterjesztéshez</w:t>
      </w:r>
    </w:p>
    <w:p w:rsidR="009D6215" w:rsidRDefault="009D6215" w:rsidP="009D6215">
      <w:pPr>
        <w:rPr>
          <w:b/>
        </w:rPr>
      </w:pPr>
    </w:p>
    <w:p w:rsidR="009D6215" w:rsidRPr="00B0231B" w:rsidRDefault="009D6215" w:rsidP="009D6215">
      <w:pPr>
        <w:jc w:val="center"/>
        <w:rPr>
          <w:b/>
        </w:rPr>
      </w:pPr>
      <w:r w:rsidRPr="00B0231B">
        <w:rPr>
          <w:b/>
        </w:rPr>
        <w:t>TULAJDONOSI NYILATKOZAT</w:t>
      </w:r>
    </w:p>
    <w:p w:rsidR="009D6215" w:rsidRDefault="009D6215" w:rsidP="009D6215">
      <w:pPr>
        <w:jc w:val="both"/>
      </w:pPr>
    </w:p>
    <w:p w:rsidR="00D24372" w:rsidRDefault="009D6215" w:rsidP="009D6215">
      <w:pPr>
        <w:jc w:val="both"/>
      </w:pPr>
      <w:r>
        <w:t>Budapest Főváros XIV. Kerület Zugló Önkormányzata (székhely: 1145 Budapest, Pétervárad u. 2-4., képviseli: Horváth Csaba polgármester)</w:t>
      </w:r>
    </w:p>
    <w:p w:rsidR="009D6215" w:rsidRPr="001D73D5" w:rsidRDefault="009D6215" w:rsidP="009D6215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:rsidR="009D6215" w:rsidRDefault="009D6215" w:rsidP="009D6215">
      <w:pPr>
        <w:spacing w:after="0"/>
        <w:jc w:val="both"/>
        <w:rPr>
          <w:iCs/>
          <w:szCs w:val="24"/>
        </w:rPr>
      </w:pPr>
      <w:r>
        <w:t xml:space="preserve">hogy </w:t>
      </w:r>
      <w:r>
        <w:rPr>
          <w:b/>
        </w:rPr>
        <w:t>támogatja,</w:t>
      </w:r>
      <w:r w:rsidRPr="003E310E">
        <w:rPr>
          <w:b/>
        </w:rPr>
        <w:t xml:space="preserve"> </w:t>
      </w:r>
      <w:r>
        <w:t xml:space="preserve">hogy a </w:t>
      </w:r>
      <w:bookmarkStart w:id="1" w:name="_Hlk169256164"/>
      <w:r>
        <w:t xml:space="preserve">Közép-Pesti Tankerületi Központ </w:t>
      </w:r>
      <w:bookmarkEnd w:id="1"/>
      <w:r>
        <w:t>(</w:t>
      </w:r>
      <w:r w:rsidRPr="00CE6FAA">
        <w:rPr>
          <w:bCs/>
          <w:i/>
          <w:szCs w:val="24"/>
        </w:rPr>
        <w:t xml:space="preserve">székhelye: </w:t>
      </w:r>
      <w:r>
        <w:rPr>
          <w:i/>
          <w:szCs w:val="24"/>
        </w:rPr>
        <w:t>1149 Budapest,</w:t>
      </w:r>
      <w:r w:rsidRPr="00CE6FAA">
        <w:rPr>
          <w:i/>
          <w:szCs w:val="24"/>
        </w:rPr>
        <w:t xml:space="preserve"> </w:t>
      </w:r>
      <w:r>
        <w:rPr>
          <w:i/>
          <w:szCs w:val="24"/>
        </w:rPr>
        <w:t>Mogyoródi út 21.</w:t>
      </w:r>
      <w:r w:rsidRPr="00CE6FAA">
        <w:rPr>
          <w:bCs/>
          <w:i/>
          <w:szCs w:val="24"/>
        </w:rPr>
        <w:t>;</w:t>
      </w:r>
      <w:r>
        <w:rPr>
          <w:bCs/>
          <w:i/>
          <w:szCs w:val="24"/>
        </w:rPr>
        <w:t xml:space="preserve"> képviseli: Házlinger György)</w:t>
      </w:r>
      <w:r>
        <w:rPr>
          <w:bCs/>
          <w:szCs w:val="24"/>
        </w:rPr>
        <w:t xml:space="preserve"> a Budapest Főváros XIV. Kerület Zugló Önkormányzata tulajdonában álló, </w:t>
      </w:r>
      <w:r>
        <w:rPr>
          <w:iCs/>
          <w:szCs w:val="24"/>
        </w:rPr>
        <w:t xml:space="preserve"> </w:t>
      </w:r>
    </w:p>
    <w:p w:rsidR="00CD3FA3" w:rsidRDefault="00CD3FA3" w:rsidP="009D6215">
      <w:pPr>
        <w:spacing w:after="0"/>
        <w:jc w:val="both"/>
        <w:rPr>
          <w:bCs/>
          <w:szCs w:val="24"/>
        </w:rPr>
      </w:pPr>
    </w:p>
    <w:p w:rsidR="008E2738" w:rsidRDefault="008E2738" w:rsidP="00C73D07">
      <w:pPr>
        <w:jc w:val="both"/>
        <w:rPr>
          <w:i/>
          <w:iCs/>
          <w:color w:val="606569"/>
          <w:szCs w:val="24"/>
          <w:shd w:val="clear" w:color="auto" w:fill="FFFFFF"/>
        </w:rPr>
      </w:pPr>
      <w:bookmarkStart w:id="2" w:name="_Hlk169262493"/>
      <w:r w:rsidRPr="000B6758">
        <w:rPr>
          <w:b/>
          <w:bCs/>
          <w:szCs w:val="24"/>
        </w:rPr>
        <w:t>Városligeti Magyar-Angol Két Tanítási Nyelvű Ált</w:t>
      </w:r>
      <w:r w:rsidRPr="00BF6EC4">
        <w:rPr>
          <w:b/>
          <w:bCs/>
          <w:szCs w:val="24"/>
        </w:rPr>
        <w:t>alános Isk</w:t>
      </w:r>
      <w:r w:rsidRPr="00C73D07">
        <w:rPr>
          <w:b/>
          <w:bCs/>
          <w:szCs w:val="24"/>
        </w:rPr>
        <w:t>ola</w:t>
      </w:r>
      <w:r w:rsidRPr="00A330B0">
        <w:rPr>
          <w:szCs w:val="24"/>
        </w:rPr>
        <w:t xml:space="preserve"> (</w:t>
      </w:r>
      <w:r w:rsidRPr="00A330B0">
        <w:rPr>
          <w:szCs w:val="24"/>
          <w:shd w:val="clear" w:color="auto" w:fill="FFFFFF"/>
        </w:rPr>
        <w:t>1146 Budapest, Hermina út 9-15.) Hrsz</w:t>
      </w:r>
      <w:r w:rsidR="00CD3FA3">
        <w:rPr>
          <w:szCs w:val="24"/>
          <w:shd w:val="clear" w:color="auto" w:fill="FFFFFF"/>
        </w:rPr>
        <w:t>.</w:t>
      </w:r>
      <w:r w:rsidRPr="00A330B0">
        <w:rPr>
          <w:szCs w:val="24"/>
          <w:shd w:val="clear" w:color="auto" w:fill="FFFFFF"/>
        </w:rPr>
        <w:t xml:space="preserve">: 31675 </w:t>
      </w:r>
    </w:p>
    <w:p w:rsidR="008E2738" w:rsidRPr="007E36F4" w:rsidRDefault="008E2738" w:rsidP="00C73D07">
      <w:pPr>
        <w:jc w:val="both"/>
        <w:rPr>
          <w:i/>
          <w:iCs/>
          <w:color w:val="606569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Hajós Alfréd Magyar-Német Két Tanítási Nyelvű Ált</w:t>
      </w:r>
      <w:r>
        <w:rPr>
          <w:b/>
          <w:bCs/>
          <w:szCs w:val="24"/>
        </w:rPr>
        <w:t>alános I</w:t>
      </w:r>
      <w:r w:rsidRPr="00A330B0">
        <w:rPr>
          <w:b/>
          <w:bCs/>
          <w:szCs w:val="24"/>
        </w:rPr>
        <w:t>sk</w:t>
      </w:r>
      <w:r>
        <w:rPr>
          <w:b/>
          <w:bCs/>
          <w:szCs w:val="24"/>
        </w:rPr>
        <w:t>ola</w:t>
      </w:r>
      <w:r w:rsidRPr="00A330B0">
        <w:rPr>
          <w:b/>
          <w:bCs/>
          <w:szCs w:val="24"/>
        </w:rPr>
        <w:t xml:space="preserve"> (</w:t>
      </w:r>
      <w:r w:rsidRPr="00A330B0">
        <w:rPr>
          <w:szCs w:val="24"/>
          <w:shd w:val="clear" w:color="auto" w:fill="FFFFFF"/>
        </w:rPr>
        <w:t xml:space="preserve">Budapest, Ungvár u. 36.) </w:t>
      </w:r>
      <w:r>
        <w:rPr>
          <w:szCs w:val="24"/>
          <w:shd w:val="clear" w:color="auto" w:fill="FFFFFF"/>
        </w:rPr>
        <w:t xml:space="preserve">  </w:t>
      </w:r>
      <w:r w:rsidRPr="00A330B0">
        <w:rPr>
          <w:szCs w:val="24"/>
          <w:shd w:val="clear" w:color="auto" w:fill="FFFFFF"/>
        </w:rPr>
        <w:t>29973/316</w:t>
      </w:r>
      <w:r>
        <w:rPr>
          <w:szCs w:val="24"/>
          <w:shd w:val="clear" w:color="auto" w:fill="FFFFFF"/>
        </w:rPr>
        <w:t xml:space="preserve"> hrsz.</w:t>
      </w:r>
    </w:p>
    <w:p w:rsidR="008E2738" w:rsidRPr="008E5F0F" w:rsidRDefault="008E2738" w:rsidP="00C73D07">
      <w:pPr>
        <w:jc w:val="both"/>
        <w:rPr>
          <w:i/>
          <w:iCs/>
          <w:color w:val="606569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Hermann Ottó Tudásközpont Ált</w:t>
      </w:r>
      <w:r>
        <w:rPr>
          <w:b/>
          <w:bCs/>
          <w:szCs w:val="24"/>
        </w:rPr>
        <w:t xml:space="preserve">alános </w:t>
      </w:r>
      <w:r w:rsidRPr="00A330B0">
        <w:rPr>
          <w:b/>
          <w:bCs/>
          <w:szCs w:val="24"/>
        </w:rPr>
        <w:t>Isk</w:t>
      </w:r>
      <w:r>
        <w:rPr>
          <w:b/>
          <w:bCs/>
          <w:szCs w:val="24"/>
        </w:rPr>
        <w:t xml:space="preserve">ola </w:t>
      </w:r>
      <w:r w:rsidRPr="008E5F0F">
        <w:rPr>
          <w:bCs/>
          <w:szCs w:val="24"/>
        </w:rPr>
        <w:t>(Budapest, Egressy út 69.)</w:t>
      </w:r>
      <w:r>
        <w:rPr>
          <w:bCs/>
          <w:szCs w:val="24"/>
        </w:rPr>
        <w:t xml:space="preserve"> 31896 hrsz</w:t>
      </w:r>
      <w:r w:rsidR="00CD3FA3">
        <w:rPr>
          <w:bCs/>
          <w:szCs w:val="24"/>
        </w:rPr>
        <w:t>.</w:t>
      </w:r>
    </w:p>
    <w:p w:rsidR="008E2738" w:rsidRPr="008E5F0F" w:rsidRDefault="008E2738" w:rsidP="00C73D07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 xml:space="preserve">Hunyadi János Ének-zenei, </w:t>
      </w:r>
      <w:r>
        <w:rPr>
          <w:b/>
          <w:bCs/>
          <w:szCs w:val="24"/>
        </w:rPr>
        <w:t>N</w:t>
      </w:r>
      <w:r w:rsidRPr="00A330B0">
        <w:rPr>
          <w:b/>
          <w:bCs/>
          <w:szCs w:val="24"/>
        </w:rPr>
        <w:t>yelvi Ált</w:t>
      </w:r>
      <w:r>
        <w:rPr>
          <w:b/>
          <w:bCs/>
          <w:szCs w:val="24"/>
        </w:rPr>
        <w:t xml:space="preserve">alános </w:t>
      </w:r>
      <w:r w:rsidRPr="00A330B0">
        <w:rPr>
          <w:b/>
          <w:bCs/>
          <w:szCs w:val="24"/>
        </w:rPr>
        <w:t>Isk</w:t>
      </w:r>
      <w:r>
        <w:rPr>
          <w:b/>
          <w:bCs/>
          <w:szCs w:val="24"/>
        </w:rPr>
        <w:t xml:space="preserve">ola </w:t>
      </w:r>
      <w:r w:rsidRPr="008E5F0F">
        <w:rPr>
          <w:bCs/>
          <w:szCs w:val="24"/>
        </w:rPr>
        <w:t>(Budapest, Wass Albert tér 12.) 31905/B hrsz</w:t>
      </w:r>
    </w:p>
    <w:p w:rsidR="008E2738" w:rsidRPr="008E5F0F" w:rsidRDefault="008E2738" w:rsidP="00C73D07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>Bp. XIV. ker. Németh Imre Ál</w:t>
      </w:r>
      <w:r>
        <w:rPr>
          <w:b/>
          <w:bCs/>
          <w:szCs w:val="24"/>
        </w:rPr>
        <w:t xml:space="preserve">talános </w:t>
      </w:r>
      <w:r w:rsidRPr="00A330B0">
        <w:rPr>
          <w:b/>
          <w:bCs/>
          <w:szCs w:val="24"/>
        </w:rPr>
        <w:t>Isk</w:t>
      </w:r>
      <w:r>
        <w:rPr>
          <w:b/>
          <w:bCs/>
          <w:szCs w:val="24"/>
        </w:rPr>
        <w:t xml:space="preserve">ola </w:t>
      </w:r>
      <w:r w:rsidRPr="008E5F0F">
        <w:rPr>
          <w:bCs/>
          <w:szCs w:val="24"/>
        </w:rPr>
        <w:t>(Budapest, Lengyel u.23.)  39952/6 hrsz</w:t>
      </w:r>
      <w:r w:rsidR="00CD3FA3">
        <w:rPr>
          <w:bCs/>
          <w:szCs w:val="24"/>
        </w:rPr>
        <w:t>.</w:t>
      </w:r>
    </w:p>
    <w:p w:rsidR="008E2738" w:rsidRPr="008E5F0F" w:rsidRDefault="008E2738" w:rsidP="00C73D07">
      <w:pPr>
        <w:jc w:val="both"/>
        <w:rPr>
          <w:bCs/>
          <w:szCs w:val="24"/>
        </w:rPr>
      </w:pPr>
      <w:r w:rsidRPr="00A330B0">
        <w:rPr>
          <w:b/>
          <w:bCs/>
          <w:szCs w:val="24"/>
        </w:rPr>
        <w:t>Bp. XIV. ker. Széchenyi István Ál</w:t>
      </w:r>
      <w:r>
        <w:rPr>
          <w:b/>
          <w:bCs/>
          <w:szCs w:val="24"/>
        </w:rPr>
        <w:t>talános</w:t>
      </w:r>
      <w:r w:rsidRPr="00A330B0">
        <w:rPr>
          <w:b/>
          <w:bCs/>
          <w:szCs w:val="24"/>
        </w:rPr>
        <w:t xml:space="preserve"> Isk</w:t>
      </w:r>
      <w:r>
        <w:rPr>
          <w:b/>
          <w:bCs/>
          <w:szCs w:val="24"/>
        </w:rPr>
        <w:t xml:space="preserve">ola </w:t>
      </w:r>
      <w:r w:rsidRPr="008E5F0F">
        <w:rPr>
          <w:bCs/>
          <w:szCs w:val="24"/>
        </w:rPr>
        <w:t>(Budapest, Telepes u. 32.) 31122, 31120 hrsz.</w:t>
      </w:r>
    </w:p>
    <w:p w:rsidR="009D6215" w:rsidRPr="00382AF4" w:rsidRDefault="008E2738" w:rsidP="00C73D07">
      <w:pPr>
        <w:jc w:val="both"/>
        <w:rPr>
          <w:i/>
          <w:iCs/>
          <w:color w:val="FF0000"/>
          <w:szCs w:val="24"/>
          <w:shd w:val="clear" w:color="auto" w:fill="FFFFFF"/>
        </w:rPr>
      </w:pPr>
      <w:r w:rsidRPr="00A330B0">
        <w:rPr>
          <w:b/>
          <w:bCs/>
          <w:szCs w:val="24"/>
        </w:rPr>
        <w:t>Zuglói Heltai Gáspár Ált</w:t>
      </w:r>
      <w:r>
        <w:rPr>
          <w:b/>
          <w:bCs/>
          <w:szCs w:val="24"/>
        </w:rPr>
        <w:t>alános</w:t>
      </w:r>
      <w:r w:rsidRPr="00A330B0">
        <w:rPr>
          <w:b/>
          <w:bCs/>
          <w:szCs w:val="24"/>
        </w:rPr>
        <w:t xml:space="preserve"> Isk</w:t>
      </w:r>
      <w:r>
        <w:rPr>
          <w:b/>
          <w:bCs/>
          <w:szCs w:val="24"/>
        </w:rPr>
        <w:t xml:space="preserve">ola </w:t>
      </w:r>
      <w:r w:rsidRPr="008E5F0F">
        <w:rPr>
          <w:bCs/>
          <w:szCs w:val="24"/>
        </w:rPr>
        <w:t>(Budapest, Padlizsán u. 11-13.) 31928/3 hrsz</w:t>
      </w:r>
    </w:p>
    <w:bookmarkEnd w:id="2"/>
    <w:p w:rsidR="009D6215" w:rsidRPr="004A003D" w:rsidRDefault="008E2738" w:rsidP="009D6215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rPr>
          <w:b/>
          <w:bCs/>
          <w:szCs w:val="24"/>
        </w:rPr>
        <w:t xml:space="preserve"> </w:t>
      </w:r>
      <w:r w:rsidR="009D6215">
        <w:rPr>
          <w:b/>
          <w:bCs/>
          <w:szCs w:val="24"/>
        </w:rPr>
        <w:t>„önkormányzati intézmények”</w:t>
      </w:r>
      <w:bookmarkStart w:id="3" w:name="_Hlk70686325"/>
      <w:r w:rsidR="009D6215">
        <w:rPr>
          <w:b/>
          <w:bCs/>
          <w:szCs w:val="24"/>
        </w:rPr>
        <w:t xml:space="preserve"> udvarainak felújítását</w:t>
      </w:r>
      <w:bookmarkEnd w:id="3"/>
      <w:r w:rsidR="009D6215" w:rsidRPr="00D87655">
        <w:rPr>
          <w:bCs/>
          <w:szCs w:val="24"/>
        </w:rPr>
        <w:t xml:space="preserve"> </w:t>
      </w:r>
      <w:r w:rsidR="009D6215">
        <w:rPr>
          <w:bCs/>
          <w:szCs w:val="24"/>
        </w:rPr>
        <w:t xml:space="preserve">a Közép-Pesti Tankerületi Központ </w:t>
      </w:r>
      <w:r>
        <w:rPr>
          <w:bCs/>
          <w:szCs w:val="24"/>
        </w:rPr>
        <w:t>saját forrás</w:t>
      </w:r>
      <w:r w:rsidR="003F1530">
        <w:rPr>
          <w:bCs/>
          <w:szCs w:val="24"/>
        </w:rPr>
        <w:t>,</w:t>
      </w:r>
      <w:r>
        <w:rPr>
          <w:bCs/>
          <w:szCs w:val="24"/>
        </w:rPr>
        <w:t xml:space="preserve"> valamint</w:t>
      </w:r>
      <w:r w:rsidR="009D6215" w:rsidRPr="00072A2D">
        <w:rPr>
          <w:bCs/>
          <w:szCs w:val="24"/>
        </w:rPr>
        <w:t xml:space="preserve"> </w:t>
      </w:r>
      <w:r w:rsidR="009D6215">
        <w:rPr>
          <w:bCs/>
          <w:szCs w:val="24"/>
        </w:rPr>
        <w:t xml:space="preserve">külső forrásból származó </w:t>
      </w:r>
      <w:r w:rsidR="009D6215" w:rsidRPr="00072A2D">
        <w:rPr>
          <w:bCs/>
          <w:szCs w:val="24"/>
        </w:rPr>
        <w:t>pénzügyi adomány felhasználásával megvalósítsa</w:t>
      </w:r>
      <w:r w:rsidR="00D24372">
        <w:rPr>
          <w:bCs/>
          <w:szCs w:val="24"/>
        </w:rPr>
        <w:t xml:space="preserve">, </w:t>
      </w:r>
      <w:r w:rsidR="00CD3FA3" w:rsidRPr="00FA1449">
        <w:rPr>
          <w:b/>
          <w:bCs/>
          <w:szCs w:val="24"/>
        </w:rPr>
        <w:t>azzal a feltétellel, hogy a felújítások során</w:t>
      </w:r>
      <w:r w:rsidR="00CD3FA3">
        <w:rPr>
          <w:b/>
          <w:bCs/>
          <w:szCs w:val="24"/>
        </w:rPr>
        <w:t xml:space="preserve"> elsősorban</w:t>
      </w:r>
      <w:r w:rsidR="00CD3FA3" w:rsidRPr="00FA1449">
        <w:rPr>
          <w:b/>
          <w:bCs/>
          <w:szCs w:val="24"/>
        </w:rPr>
        <w:t xml:space="preserve"> természetközeli megoldások</w:t>
      </w:r>
      <w:r w:rsidR="00BF6EC4">
        <w:rPr>
          <w:b/>
          <w:bCs/>
          <w:szCs w:val="24"/>
        </w:rPr>
        <w:t>at kell</w:t>
      </w:r>
      <w:r w:rsidR="00CD3FA3" w:rsidRPr="00FA1449">
        <w:rPr>
          <w:b/>
          <w:bCs/>
          <w:szCs w:val="24"/>
        </w:rPr>
        <w:t xml:space="preserve"> alkalm</w:t>
      </w:r>
      <w:r w:rsidR="00CD3FA3">
        <w:rPr>
          <w:b/>
          <w:bCs/>
          <w:szCs w:val="24"/>
        </w:rPr>
        <w:t>az</w:t>
      </w:r>
      <w:r w:rsidR="00BF6EC4">
        <w:rPr>
          <w:b/>
          <w:bCs/>
          <w:szCs w:val="24"/>
        </w:rPr>
        <w:t>ni, törekedni kell a minél kevesebb burkolt felület és a minél nagyobb természetes zöldfelület kialakítására, továbbá</w:t>
      </w:r>
      <w:r w:rsidR="00CD3FA3">
        <w:rPr>
          <w:b/>
          <w:bCs/>
          <w:szCs w:val="24"/>
        </w:rPr>
        <w:t xml:space="preserve"> </w:t>
      </w:r>
      <w:r w:rsidR="00CD3FA3" w:rsidRPr="00FA1449">
        <w:rPr>
          <w:b/>
          <w:bCs/>
          <w:szCs w:val="24"/>
        </w:rPr>
        <w:t xml:space="preserve">a munkák megkezdése előtt a szükséges településképi </w:t>
      </w:r>
      <w:bookmarkStart w:id="4" w:name="_Hlk169284412"/>
      <w:r w:rsidR="00CD3FA3" w:rsidRPr="00FA1449">
        <w:rPr>
          <w:b/>
          <w:bCs/>
          <w:szCs w:val="24"/>
        </w:rPr>
        <w:t>bejelentési eljárá</w:t>
      </w:r>
      <w:r w:rsidR="00CD3FA3">
        <w:rPr>
          <w:b/>
          <w:bCs/>
          <w:szCs w:val="24"/>
        </w:rPr>
        <w:t>sok</w:t>
      </w:r>
      <w:r w:rsidR="00BF6EC4">
        <w:rPr>
          <w:b/>
          <w:bCs/>
          <w:szCs w:val="24"/>
        </w:rPr>
        <w:t xml:space="preserve"> lefolytatását</w:t>
      </w:r>
      <w:r w:rsidR="00CD3FA3">
        <w:rPr>
          <w:b/>
          <w:bCs/>
          <w:szCs w:val="24"/>
        </w:rPr>
        <w:t xml:space="preserve"> </w:t>
      </w:r>
      <w:bookmarkStart w:id="5" w:name="_Hlk169252504"/>
      <w:r w:rsidR="00CD3FA3">
        <w:rPr>
          <w:b/>
          <w:bCs/>
          <w:szCs w:val="24"/>
        </w:rPr>
        <w:t xml:space="preserve">a </w:t>
      </w:r>
      <w:r w:rsidR="00CD3FA3" w:rsidRPr="00FA1449">
        <w:rPr>
          <w:b/>
        </w:rPr>
        <w:t>Közép-Pesti Tankerületi Központ</w:t>
      </w:r>
      <w:r w:rsidR="00CD3FA3" w:rsidRPr="00FA1449">
        <w:rPr>
          <w:b/>
          <w:bCs/>
          <w:szCs w:val="24"/>
        </w:rPr>
        <w:t xml:space="preserve"> </w:t>
      </w:r>
      <w:bookmarkEnd w:id="5"/>
      <w:r w:rsidR="00BF6EC4">
        <w:rPr>
          <w:b/>
          <w:bCs/>
          <w:szCs w:val="24"/>
        </w:rPr>
        <w:t>a megfelelő dokumentumok e-papíron történő benyújtásával kérelmezi</w:t>
      </w:r>
      <w:bookmarkEnd w:id="4"/>
      <w:r w:rsidR="003F1530">
        <w:rPr>
          <w:b/>
          <w:bCs/>
          <w:szCs w:val="24"/>
        </w:rPr>
        <w:t>.</w:t>
      </w:r>
    </w:p>
    <w:p w:rsidR="009D6215" w:rsidRDefault="009D6215" w:rsidP="009D6215">
      <w:pPr>
        <w:jc w:val="both"/>
      </w:pPr>
    </w:p>
    <w:p w:rsidR="009D6215" w:rsidRDefault="009D6215" w:rsidP="009D6215">
      <w:pPr>
        <w:jc w:val="both"/>
      </w:pPr>
      <w:r>
        <w:t>Ezt meghaladóan</w:t>
      </w:r>
    </w:p>
    <w:p w:rsidR="009D6215" w:rsidRPr="001D73D5" w:rsidRDefault="009D6215" w:rsidP="009D621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:rsidR="009D6215" w:rsidRPr="00382AF4" w:rsidRDefault="009D6215" w:rsidP="00382AF4">
      <w:pPr>
        <w:spacing w:after="0"/>
        <w:jc w:val="both"/>
        <w:rPr>
          <w:rFonts w:eastAsia="Calibri" w:cs="Times New Roman"/>
          <w:b/>
          <w:szCs w:val="24"/>
          <w:lang w:eastAsia="hu-HU"/>
        </w:rPr>
      </w:pPr>
      <w:r>
        <w:t xml:space="preserve">hogy a Budapest Főváros XIV. Kerület Zugló Önkormányzata tulajdonában álló, </w:t>
      </w:r>
      <w:r>
        <w:rPr>
          <w:b/>
        </w:rPr>
        <w:t>„önkormányzati intézmények” és az ott felújításra kerülő iskolaudvarok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Pr="004B6FCE">
        <w:rPr>
          <w:rFonts w:eastAsia="Calibri" w:cs="Arial"/>
          <w:b/>
          <w:bCs/>
          <w:color w:val="000000"/>
          <w:szCs w:val="20"/>
          <w:lang w:eastAsia="hu-HU"/>
        </w:rPr>
        <w:t>beruházás</w:t>
      </w:r>
      <w:r>
        <w:rPr>
          <w:rFonts w:eastAsia="Calibri" w:cs="Arial"/>
          <w:b/>
          <w:bCs/>
          <w:color w:val="000000"/>
          <w:szCs w:val="20"/>
          <w:lang w:eastAsia="hu-HU"/>
        </w:rPr>
        <w:t>i</w:t>
      </w:r>
      <w:r w:rsidRPr="004B6FCE">
        <w:rPr>
          <w:rFonts w:eastAsia="Calibri" w:cs="Arial"/>
          <w:b/>
          <w:bCs/>
          <w:color w:val="000000"/>
          <w:szCs w:val="20"/>
          <w:lang w:eastAsia="hu-HU"/>
        </w:rPr>
        <w:t xml:space="preserve"> értékét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 a</w:t>
      </w:r>
      <w:r>
        <w:rPr>
          <w:rFonts w:eastAsia="Calibri" w:cs="Arial"/>
          <w:bCs/>
          <w:color w:val="000000"/>
          <w:szCs w:val="20"/>
          <w:lang w:eastAsia="hu-HU"/>
        </w:rPr>
        <w:t>z „önkormányzati intézmény”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>
        <w:rPr>
          <w:rFonts w:eastAsia="Calibri" w:cs="Arial"/>
          <w:bCs/>
          <w:color w:val="000000"/>
          <w:szCs w:val="20"/>
          <w:lang w:eastAsia="hu-HU"/>
        </w:rPr>
        <w:t xml:space="preserve">Vagyonkezelője, a </w:t>
      </w:r>
      <w:r>
        <w:t xml:space="preserve">Közép-Pesti Tankerületi Központ </w:t>
      </w:r>
      <w:r>
        <w:rPr>
          <w:rFonts w:eastAsia="Calibri" w:cs="Arial"/>
          <w:bCs/>
          <w:color w:val="000000"/>
          <w:szCs w:val="20"/>
          <w:lang w:eastAsia="hu-HU"/>
        </w:rPr>
        <w:t xml:space="preserve">a </w:t>
      </w:r>
      <w:r w:rsidR="009813A5">
        <w:rPr>
          <w:rFonts w:eastAsia="Calibri" w:cs="Arial"/>
          <w:bCs/>
          <w:color w:val="000000"/>
          <w:szCs w:val="20"/>
          <w:lang w:eastAsia="hu-HU"/>
        </w:rPr>
        <w:t xml:space="preserve">vagyonkezelői szerződés megszűnésekor, a 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mindenkor hatályos számviteli törvény szerint </w:t>
      </w:r>
      <w:r w:rsidRPr="004B6FCE">
        <w:rPr>
          <w:rFonts w:eastAsia="Calibri" w:cs="Arial"/>
          <w:b/>
          <w:bCs/>
          <w:color w:val="000000"/>
          <w:szCs w:val="20"/>
          <w:lang w:eastAsia="hu-HU"/>
        </w:rPr>
        <w:t>átadja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 </w:t>
      </w:r>
      <w:r w:rsidRPr="00B13DF0">
        <w:rPr>
          <w:rFonts w:eastAsia="Calibri" w:cs="Arial"/>
          <w:bCs/>
          <w:color w:val="000000"/>
          <w:szCs w:val="20"/>
          <w:lang w:eastAsia="hu-HU"/>
        </w:rPr>
        <w:t xml:space="preserve">Budapest Főváros XIV. Kerület Zugló </w:t>
      </w:r>
      <w:r w:rsidRPr="004B6FCE">
        <w:rPr>
          <w:rFonts w:eastAsia="Calibri" w:cs="Arial"/>
          <w:bCs/>
          <w:color w:val="000000"/>
          <w:szCs w:val="20"/>
          <w:lang w:eastAsia="hu-HU"/>
        </w:rPr>
        <w:t>Önkormányzat</w:t>
      </w:r>
      <w:r>
        <w:rPr>
          <w:rFonts w:eastAsia="Calibri" w:cs="Arial"/>
          <w:bCs/>
          <w:color w:val="000000"/>
          <w:szCs w:val="20"/>
          <w:lang w:eastAsia="hu-HU"/>
        </w:rPr>
        <w:t>a</w:t>
      </w:r>
      <w:r w:rsidRPr="004B6FCE">
        <w:rPr>
          <w:rFonts w:eastAsia="Calibri" w:cs="Arial"/>
          <w:bCs/>
          <w:color w:val="000000"/>
          <w:szCs w:val="20"/>
          <w:lang w:eastAsia="hu-HU"/>
        </w:rPr>
        <w:t xml:space="preserve"> részére</w:t>
      </w:r>
      <w:r>
        <w:rPr>
          <w:rFonts w:eastAsia="Calibri" w:cs="Arial"/>
          <w:bCs/>
          <w:color w:val="000000"/>
          <w:szCs w:val="20"/>
          <w:lang w:eastAsia="hu-HU"/>
        </w:rPr>
        <w:t>.</w:t>
      </w:r>
      <w:r w:rsidRPr="004B6FCE">
        <w:rPr>
          <w:rFonts w:eastAsia="Calibri" w:cs="Times New Roman"/>
          <w:szCs w:val="24"/>
        </w:rPr>
        <w:t xml:space="preserve"> </w:t>
      </w:r>
    </w:p>
    <w:p w:rsidR="00382AF4" w:rsidRDefault="00382AF4" w:rsidP="009D6215">
      <w:pPr>
        <w:tabs>
          <w:tab w:val="right" w:leader="underscore" w:pos="851"/>
          <w:tab w:val="right" w:leader="underscore" w:pos="4253"/>
        </w:tabs>
        <w:jc w:val="both"/>
      </w:pPr>
    </w:p>
    <w:p w:rsidR="009D6215" w:rsidRDefault="009D6215" w:rsidP="009D6215">
      <w:pPr>
        <w:tabs>
          <w:tab w:val="right" w:leader="underscore" w:pos="851"/>
          <w:tab w:val="right" w:leader="underscore" w:pos="4253"/>
        </w:tabs>
        <w:jc w:val="both"/>
      </w:pPr>
      <w:r>
        <w:t xml:space="preserve">Budapest, 2024. </w:t>
      </w:r>
    </w:p>
    <w:p w:rsidR="009D6215" w:rsidRDefault="009D6215" w:rsidP="009D6215">
      <w:pPr>
        <w:tabs>
          <w:tab w:val="left" w:pos="1843"/>
          <w:tab w:val="right" w:leader="underscore" w:pos="7371"/>
        </w:tabs>
        <w:jc w:val="both"/>
      </w:pPr>
      <w:r>
        <w:lastRenderedPageBreak/>
        <w:tab/>
      </w:r>
      <w:r>
        <w:tab/>
      </w:r>
    </w:p>
    <w:p w:rsidR="009D6215" w:rsidRPr="00FA4398" w:rsidRDefault="009D6215" w:rsidP="009D6215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9D6215" w:rsidRDefault="009D6215" w:rsidP="009D6215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8C1C5B" w:rsidRDefault="009D6215" w:rsidP="00382AF4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>.: Horváth Csaba polgármester</w:t>
      </w:r>
    </w:p>
    <w:sectPr w:rsidR="008C1C5B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markup="0"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15"/>
    <w:rsid w:val="000B090D"/>
    <w:rsid w:val="000B6758"/>
    <w:rsid w:val="00382AF4"/>
    <w:rsid w:val="003F1530"/>
    <w:rsid w:val="00407127"/>
    <w:rsid w:val="00833A52"/>
    <w:rsid w:val="008602F7"/>
    <w:rsid w:val="008C1C5B"/>
    <w:rsid w:val="008E2738"/>
    <w:rsid w:val="009813A5"/>
    <w:rsid w:val="009D6215"/>
    <w:rsid w:val="00BF6EC4"/>
    <w:rsid w:val="00C73D07"/>
    <w:rsid w:val="00CD3FA3"/>
    <w:rsid w:val="00D12DBA"/>
    <w:rsid w:val="00D24372"/>
    <w:rsid w:val="00E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C706"/>
  <w15:chartTrackingRefBased/>
  <w15:docId w15:val="{CBD1D576-BBFA-468D-8384-35C94F13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6215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4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4372"/>
    <w:rPr>
      <w:rFonts w:ascii="Segoe UI" w:hAnsi="Segoe UI" w:cs="Segoe UI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0B090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0B090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4F98-029E-498F-8C4E-2B1AE4D4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NB-u1</dc:creator>
  <cp:keywords/>
  <dc:description/>
  <cp:lastModifiedBy>NB-u1</cp:lastModifiedBy>
  <cp:revision>5</cp:revision>
  <dcterms:created xsi:type="dcterms:W3CDTF">2024-06-18T12:11:00Z</dcterms:created>
  <dcterms:modified xsi:type="dcterms:W3CDTF">2024-06-18T16:33:00Z</dcterms:modified>
</cp:coreProperties>
</file>