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5C1A0" w14:textId="77777777" w:rsidR="00A4177C" w:rsidRPr="00C908DC" w:rsidRDefault="00C908DC" w:rsidP="003F52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908DC">
        <w:rPr>
          <w:rFonts w:ascii="Times New Roman" w:hAnsi="Times New Roman" w:cs="Times New Roman"/>
          <w:b/>
          <w:bCs/>
          <w:sz w:val="24"/>
          <w:szCs w:val="24"/>
        </w:rPr>
        <w:t>ELJÁRÁS AZONOSÍTÓ ADATAI</w:t>
      </w:r>
    </w:p>
    <w:p w14:paraId="5141F8D5" w14:textId="587E9D88" w:rsidR="00C908DC" w:rsidRPr="00C908DC" w:rsidRDefault="00C908DC" w:rsidP="003F52EF">
      <w:pPr>
        <w:jc w:val="both"/>
        <w:rPr>
          <w:rFonts w:ascii="Times New Roman" w:hAnsi="Times New Roman" w:cs="Times New Roman"/>
          <w:sz w:val="24"/>
          <w:szCs w:val="24"/>
        </w:rPr>
      </w:pPr>
      <w:r w:rsidRPr="00C908DC">
        <w:rPr>
          <w:rFonts w:ascii="Times New Roman" w:hAnsi="Times New Roman" w:cs="Times New Roman"/>
          <w:sz w:val="24"/>
          <w:szCs w:val="24"/>
        </w:rPr>
        <w:t>Uniós, Hirdetmény közzététele nélküli tárgyalásos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8DC">
        <w:rPr>
          <w:rFonts w:ascii="Times New Roman" w:hAnsi="Times New Roman" w:cs="Times New Roman"/>
          <w:sz w:val="24"/>
          <w:szCs w:val="24"/>
        </w:rPr>
        <w:t xml:space="preserve">eljárás – </w:t>
      </w:r>
    </w:p>
    <w:p w14:paraId="6AF3D7D2" w14:textId="77777777" w:rsidR="00C908DC" w:rsidRDefault="00C908DC" w:rsidP="003F52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8DC">
        <w:rPr>
          <w:rFonts w:ascii="Times New Roman" w:hAnsi="Times New Roman" w:cs="Times New Roman"/>
          <w:b/>
          <w:bCs/>
          <w:sz w:val="24"/>
          <w:szCs w:val="24"/>
        </w:rPr>
        <w:t>E10 - Előkészítés szakasz</w:t>
      </w:r>
    </w:p>
    <w:p w14:paraId="27AB8854" w14:textId="44ED23AE" w:rsidR="00C908DC" w:rsidRDefault="00DE7325" w:rsidP="003F52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Közbeszerzés tárgya: </w:t>
      </w:r>
      <w:r w:rsid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Földgáz</w:t>
      </w:r>
      <w:r w:rsidR="008B159A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beszerzése egyetemes </w:t>
      </w:r>
      <w:proofErr w:type="spellStart"/>
      <w:r w:rsidR="008B159A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szolg</w:t>
      </w:r>
      <w:proofErr w:type="spellEnd"/>
      <w:r w:rsid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. </w:t>
      </w:r>
      <w:proofErr w:type="gramStart"/>
      <w:r w:rsidR="008B159A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keretében</w:t>
      </w:r>
      <w:proofErr w:type="gramEnd"/>
    </w:p>
    <w:p w14:paraId="7A99CDDD" w14:textId="5E657533" w:rsidR="00DE7325" w:rsidRDefault="00DE7325" w:rsidP="003F52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Ajánlatkérő neve: </w:t>
      </w:r>
      <w:r w:rsidR="001B54FF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Budapest Főváros XIV. Kerület Zugló Önkormányzata</w:t>
      </w:r>
    </w:p>
    <w:p w14:paraId="11BDB2C9" w14:textId="77777777" w:rsidR="003F52EF" w:rsidRDefault="003F52EF" w:rsidP="003F52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2EF">
        <w:rPr>
          <w:rFonts w:ascii="Times New Roman" w:hAnsi="Times New Roman" w:cs="Times New Roman"/>
          <w:b/>
          <w:bCs/>
          <w:sz w:val="28"/>
          <w:szCs w:val="28"/>
        </w:rPr>
        <w:t>Ajánlattételi felhívás</w:t>
      </w:r>
    </w:p>
    <w:p w14:paraId="1B7479FC" w14:textId="77777777" w:rsidR="003F52EF" w:rsidRDefault="003F52EF" w:rsidP="003F52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2EF">
        <w:rPr>
          <w:rFonts w:ascii="Times New Roman" w:hAnsi="Times New Roman" w:cs="Times New Roman"/>
          <w:b/>
          <w:bCs/>
          <w:sz w:val="24"/>
          <w:szCs w:val="24"/>
        </w:rPr>
        <w:t>Ajánlattételi felhívás</w:t>
      </w:r>
    </w:p>
    <w:p w14:paraId="5E7888A5" w14:textId="77777777" w:rsidR="003F52EF" w:rsidRPr="003F52EF" w:rsidRDefault="003F52EF" w:rsidP="003F52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2EF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2EF">
        <w:rPr>
          <w:rFonts w:ascii="Times New Roman" w:hAnsi="Times New Roman" w:cs="Times New Roman"/>
          <w:b/>
          <w:bCs/>
          <w:sz w:val="24"/>
          <w:szCs w:val="24"/>
        </w:rPr>
        <w:t>szakasz: Ajánlatkérő</w:t>
      </w:r>
    </w:p>
    <w:p w14:paraId="511F0273" w14:textId="77777777" w:rsidR="003F52EF" w:rsidRDefault="003F52EF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52EF">
        <w:rPr>
          <w:rFonts w:ascii="Times New Roman" w:hAnsi="Times New Roman" w:cs="Times New Roman"/>
          <w:b/>
          <w:bCs/>
          <w:sz w:val="24"/>
          <w:szCs w:val="24"/>
        </w:rPr>
        <w:t>I.1) Név és címek (jelölje meg az eljárásért felelős összes ajánlatkérőt)</w:t>
      </w:r>
    </w:p>
    <w:p w14:paraId="2DADCDD2" w14:textId="61C5C103" w:rsidR="003F52EF" w:rsidRDefault="003F52EF" w:rsidP="003F5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Hivatalos név: </w:t>
      </w:r>
      <w:r w:rsidR="001B54FF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Budapest Főváros XIV. Kerület Zugló Önkormányzata</w:t>
      </w:r>
    </w:p>
    <w:p w14:paraId="7FBDB52C" w14:textId="0A7752CB" w:rsidR="001D53A0" w:rsidRDefault="001D53A0" w:rsidP="003F5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Nemzeti azonosítószám: </w:t>
      </w:r>
      <w:r w:rsidR="001B54FF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15735777242</w:t>
      </w:r>
    </w:p>
    <w:p w14:paraId="2BDC488E" w14:textId="77777777" w:rsidR="001D53A0" w:rsidRDefault="001D53A0" w:rsidP="003F52EF">
      <w:pPr>
        <w:rPr>
          <w:rFonts w:ascii="Times New Roman" w:hAnsi="Times New Roman" w:cs="Times New Roman"/>
          <w:sz w:val="24"/>
          <w:szCs w:val="24"/>
        </w:rPr>
      </w:pPr>
      <w:r w:rsidRPr="001D53A0">
        <w:rPr>
          <w:rFonts w:ascii="Times New Roman" w:hAnsi="Times New Roman" w:cs="Times New Roman"/>
          <w:sz w:val="24"/>
          <w:szCs w:val="24"/>
        </w:rPr>
        <w:t>Postai cím:</w:t>
      </w:r>
    </w:p>
    <w:p w14:paraId="3CD834E5" w14:textId="77777777" w:rsidR="001D53A0" w:rsidRDefault="001D53A0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Város: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Budapest</w:t>
      </w:r>
    </w:p>
    <w:p w14:paraId="4D720FB4" w14:textId="77777777" w:rsidR="001D53A0" w:rsidRDefault="001D53A0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D53A0">
        <w:rPr>
          <w:rFonts w:ascii="Times New Roman" w:hAnsi="Times New Roman" w:cs="Times New Roman"/>
          <w:sz w:val="24"/>
          <w:szCs w:val="24"/>
        </w:rPr>
        <w:t>NUTS-kód</w:t>
      </w:r>
      <w:proofErr w:type="spellEnd"/>
      <w:r w:rsidRPr="001D53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HU110</w:t>
      </w:r>
    </w:p>
    <w:p w14:paraId="2BD1566A" w14:textId="22AAF2C1" w:rsidR="001D53A0" w:rsidRDefault="001D53A0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53A0">
        <w:rPr>
          <w:rFonts w:ascii="Times New Roman" w:hAnsi="Times New Roman" w:cs="Times New Roman"/>
          <w:sz w:val="24"/>
          <w:szCs w:val="24"/>
        </w:rPr>
        <w:t>Postai irányítószám: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1145</w:t>
      </w:r>
    </w:p>
    <w:p w14:paraId="18ECFB2C" w14:textId="77777777" w:rsidR="001D53A0" w:rsidRDefault="001D53A0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36">
        <w:rPr>
          <w:rFonts w:ascii="Times New Roman" w:hAnsi="Times New Roman" w:cs="Times New Roman"/>
          <w:sz w:val="24"/>
          <w:szCs w:val="24"/>
        </w:rPr>
        <w:t>Ország: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Magyarország</w:t>
      </w:r>
    </w:p>
    <w:p w14:paraId="566C9895" w14:textId="371318CA" w:rsidR="00322536" w:rsidRDefault="00322536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36">
        <w:rPr>
          <w:rFonts w:ascii="Times New Roman" w:hAnsi="Times New Roman" w:cs="Times New Roman"/>
          <w:sz w:val="24"/>
          <w:szCs w:val="24"/>
        </w:rPr>
        <w:t xml:space="preserve">Egyéb cím adatok: </w:t>
      </w:r>
      <w:proofErr w:type="spellStart"/>
      <w:r w:rsid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Pétervárad</w:t>
      </w:r>
      <w:proofErr w:type="spellEnd"/>
      <w:r w:rsid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utca 2.</w:t>
      </w:r>
    </w:p>
    <w:p w14:paraId="1F265E8D" w14:textId="4703ABBA" w:rsidR="00322536" w:rsidRPr="00E13AE2" w:rsidRDefault="00322536" w:rsidP="003F52EF">
      <w:pPr>
        <w:rPr>
          <w:rFonts w:ascii="Times New Roman" w:hAnsi="Times New Roman" w:cs="Times New Roman"/>
          <w:sz w:val="24"/>
          <w:szCs w:val="24"/>
        </w:rPr>
      </w:pPr>
      <w:r w:rsidRPr="00E13AE2">
        <w:rPr>
          <w:rFonts w:ascii="Times New Roman" w:hAnsi="Times New Roman" w:cs="Times New Roman"/>
          <w:sz w:val="24"/>
          <w:szCs w:val="24"/>
        </w:rPr>
        <w:t xml:space="preserve">Kapcsolattartó személy: </w:t>
      </w:r>
      <w:r w:rsidR="00C45999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dr. </w:t>
      </w:r>
      <w:r w:rsidR="002B50AB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Varga Dóra Katalin</w:t>
      </w:r>
    </w:p>
    <w:p w14:paraId="1E061992" w14:textId="72DFC812" w:rsidR="00322536" w:rsidRPr="00E13AE2" w:rsidRDefault="00322536" w:rsidP="003F52EF">
      <w:pPr>
        <w:rPr>
          <w:rFonts w:ascii="Times New Roman" w:hAnsi="Times New Roman" w:cs="Times New Roman"/>
          <w:sz w:val="24"/>
          <w:szCs w:val="24"/>
        </w:rPr>
      </w:pPr>
      <w:r w:rsidRPr="00E13AE2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E13AE2">
        <w:rPr>
          <w:rFonts w:ascii="Times New Roman" w:hAnsi="Times New Roman" w:cs="Times New Roman"/>
          <w:sz w:val="24"/>
          <w:szCs w:val="24"/>
        </w:rPr>
        <w:t>:</w:t>
      </w:r>
      <w:r w:rsidR="006A3367" w:rsidRPr="00E13AE2">
        <w:rPr>
          <w:rFonts w:ascii="Times New Roman" w:hAnsi="Times New Roman" w:cs="Times New Roman"/>
          <w:sz w:val="24"/>
          <w:szCs w:val="24"/>
        </w:rPr>
        <w:t xml:space="preserve"> </w:t>
      </w:r>
      <w:r w:rsidR="002B50AB" w:rsidRPr="00AE0255">
        <w:rPr>
          <w:rStyle w:val="Hiperhivatkozs"/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hyperlink r:id="rId5" w:history="1">
        <w:r w:rsidR="002B50AB" w:rsidRPr="00AE0255">
          <w:rPr>
            <w:rStyle w:val="Hiperhivatkozs"/>
            <w:rFonts w:ascii="Times New Roman" w:hAnsi="Times New Roman" w:cs="Times New Roman"/>
            <w:b/>
            <w:bCs/>
            <w:color w:val="00B0F0"/>
            <w:sz w:val="24"/>
            <w:szCs w:val="24"/>
          </w:rPr>
          <w:t>drvarga@vddr.hu</w:t>
        </w:r>
        <w:proofErr w:type="gramEnd"/>
      </w:hyperlink>
      <w:r w:rsidR="006A3367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</w:p>
    <w:p w14:paraId="6B0FC16A" w14:textId="0E0B6203" w:rsidR="00322536" w:rsidRPr="00E13AE2" w:rsidRDefault="00322536" w:rsidP="003F52EF">
      <w:pPr>
        <w:rPr>
          <w:rFonts w:ascii="Times New Roman" w:hAnsi="Times New Roman" w:cs="Times New Roman"/>
          <w:sz w:val="24"/>
          <w:szCs w:val="24"/>
        </w:rPr>
      </w:pPr>
      <w:r w:rsidRPr="00E13AE2">
        <w:rPr>
          <w:rFonts w:ascii="Times New Roman" w:hAnsi="Times New Roman" w:cs="Times New Roman"/>
          <w:sz w:val="24"/>
          <w:szCs w:val="24"/>
        </w:rPr>
        <w:t>Telefon:</w:t>
      </w:r>
      <w:r w:rsidR="00E13AE2" w:rsidRPr="00E13AE2">
        <w:rPr>
          <w:rFonts w:ascii="Times New Roman" w:hAnsi="Times New Roman" w:cs="Times New Roman"/>
          <w:sz w:val="24"/>
          <w:szCs w:val="24"/>
        </w:rPr>
        <w:t xml:space="preserve"> </w:t>
      </w:r>
      <w:r w:rsidR="002B50AB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+36 16195285</w:t>
      </w:r>
    </w:p>
    <w:p w14:paraId="567BF55E" w14:textId="65BBD026" w:rsidR="00322536" w:rsidRDefault="00322536" w:rsidP="003F52EF">
      <w:pPr>
        <w:rPr>
          <w:rFonts w:ascii="Times New Roman" w:hAnsi="Times New Roman" w:cs="Times New Roman"/>
          <w:sz w:val="24"/>
          <w:szCs w:val="24"/>
        </w:rPr>
      </w:pPr>
      <w:r w:rsidRPr="00E13AE2">
        <w:rPr>
          <w:rFonts w:ascii="Times New Roman" w:hAnsi="Times New Roman" w:cs="Times New Roman"/>
          <w:sz w:val="24"/>
          <w:szCs w:val="24"/>
        </w:rPr>
        <w:t>Fax:</w:t>
      </w:r>
      <w:r w:rsidR="00E13AE2" w:rsidRPr="001A4B38">
        <w:rPr>
          <w:b/>
          <w:bCs/>
        </w:rPr>
        <w:t xml:space="preserve"> </w:t>
      </w:r>
      <w:r w:rsidR="002B50AB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+36 16195414</w:t>
      </w:r>
    </w:p>
    <w:p w14:paraId="6C810CB5" w14:textId="77777777" w:rsidR="00322536" w:rsidRDefault="00322536" w:rsidP="003F52E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Internetcím(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DD17BBC" w14:textId="702BEC58" w:rsidR="00322536" w:rsidRPr="000F42FF" w:rsidRDefault="00366864" w:rsidP="006A3367">
      <w:pPr>
        <w:jc w:val="both"/>
        <w:rPr>
          <w:rFonts w:ascii="Times New Roman" w:hAnsi="Times New Roman" w:cs="Times New Roman"/>
          <w:sz w:val="24"/>
          <w:szCs w:val="24"/>
        </w:rPr>
      </w:pPr>
      <w:r w:rsidRPr="000F42FF">
        <w:rPr>
          <w:rFonts w:ascii="Times New Roman" w:hAnsi="Times New Roman" w:cs="Times New Roman"/>
          <w:sz w:val="24"/>
          <w:szCs w:val="24"/>
        </w:rPr>
        <w:t xml:space="preserve">Az ajánlatkérő általános címe: </w:t>
      </w:r>
      <w:r w:rsidR="008F78E5" w:rsidRPr="008F78E5">
        <w:rPr>
          <w:rFonts w:ascii="Times New Roman" w:hAnsi="Times New Roman" w:cs="Times New Roman"/>
          <w:b/>
          <w:bCs/>
          <w:color w:val="00B0F0"/>
          <w:sz w:val="24"/>
          <w:szCs w:val="24"/>
        </w:rPr>
        <w:t>www.zuglo.hu</w:t>
      </w:r>
    </w:p>
    <w:p w14:paraId="58849810" w14:textId="77777777" w:rsidR="00366864" w:rsidRDefault="00366864" w:rsidP="003F52EF">
      <w:pPr>
        <w:rPr>
          <w:rFonts w:ascii="Times New Roman" w:hAnsi="Times New Roman" w:cs="Times New Roman"/>
          <w:sz w:val="24"/>
          <w:szCs w:val="24"/>
        </w:rPr>
      </w:pPr>
      <w:r w:rsidRPr="000F42FF">
        <w:rPr>
          <w:rFonts w:ascii="Times New Roman" w:hAnsi="Times New Roman" w:cs="Times New Roman"/>
          <w:sz w:val="24"/>
          <w:szCs w:val="24"/>
        </w:rPr>
        <w:t>A felhasználói oldal címe:</w:t>
      </w:r>
    </w:p>
    <w:p w14:paraId="71CA8390" w14:textId="77777777" w:rsidR="00366864" w:rsidRDefault="00366864" w:rsidP="003F52EF">
      <w:pPr>
        <w:rPr>
          <w:rFonts w:ascii="Times New Roman" w:hAnsi="Times New Roman" w:cs="Times New Roman"/>
          <w:sz w:val="24"/>
          <w:szCs w:val="24"/>
        </w:rPr>
      </w:pPr>
    </w:p>
    <w:p w14:paraId="3393B75B" w14:textId="77777777" w:rsidR="00366864" w:rsidRDefault="00366864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EDDDE6" w14:textId="77777777" w:rsidR="00D75B6C" w:rsidRDefault="00D75B6C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I.2) </w:t>
      </w:r>
      <w:r w:rsidRPr="00D75B6C">
        <w:rPr>
          <w:rFonts w:ascii="Times New Roman" w:hAnsi="Times New Roman" w:cs="Times New Roman"/>
          <w:b/>
          <w:bCs/>
          <w:sz w:val="24"/>
          <w:szCs w:val="24"/>
        </w:rPr>
        <w:t>Az ajánlatkérő típusa</w:t>
      </w:r>
    </w:p>
    <w:p w14:paraId="7466911A" w14:textId="788757E8" w:rsidR="006A3367" w:rsidRDefault="00D75B6C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5B6C">
        <w:rPr>
          <w:rFonts w:ascii="Times New Roman" w:hAnsi="Times New Roman" w:cs="Times New Roman"/>
          <w:sz w:val="24"/>
          <w:szCs w:val="24"/>
        </w:rPr>
        <w:t>Ajánlatkérő típusa: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0AB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Regionális/helyi szintű</w:t>
      </w:r>
    </w:p>
    <w:p w14:paraId="1DD97667" w14:textId="77777777" w:rsidR="006A3367" w:rsidRDefault="006A3367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I.3) Fő tevékenység:</w:t>
      </w:r>
    </w:p>
    <w:p w14:paraId="291B0E2C" w14:textId="4E9FB3F0" w:rsidR="00D612A6" w:rsidRPr="00D612A6" w:rsidRDefault="006A3367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3367">
        <w:rPr>
          <w:rFonts w:ascii="Times New Roman" w:hAnsi="Times New Roman" w:cs="Times New Roman"/>
          <w:sz w:val="24"/>
          <w:szCs w:val="24"/>
        </w:rPr>
        <w:t>Fő tevékenység:</w:t>
      </w:r>
      <w:r w:rsidR="00D612A6">
        <w:rPr>
          <w:rFonts w:ascii="Times New Roman" w:hAnsi="Times New Roman" w:cs="Times New Roman"/>
          <w:sz w:val="24"/>
          <w:szCs w:val="24"/>
        </w:rPr>
        <w:t xml:space="preserve"> </w:t>
      </w:r>
      <w:r w:rsidR="001B54FF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Általános közszolgáltatások</w:t>
      </w:r>
    </w:p>
    <w:p w14:paraId="0DFB802F" w14:textId="77777777" w:rsidR="00D612A6" w:rsidRDefault="00D612A6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2A6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szakasz: Tárgy</w:t>
      </w:r>
    </w:p>
    <w:p w14:paraId="04714885" w14:textId="77777777" w:rsidR="00D612A6" w:rsidRDefault="00D612A6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2A6">
        <w:rPr>
          <w:rFonts w:ascii="Times New Roman" w:hAnsi="Times New Roman" w:cs="Times New Roman"/>
          <w:b/>
          <w:bCs/>
          <w:sz w:val="24"/>
          <w:szCs w:val="24"/>
        </w:rPr>
        <w:t>II.1) Meghatározás</w:t>
      </w:r>
      <w:r w:rsidRPr="00D612A6">
        <w:rPr>
          <w:rFonts w:ascii="Times New Roman" w:hAnsi="Times New Roman" w:cs="Times New Roman"/>
          <w:b/>
          <w:bCs/>
          <w:sz w:val="24"/>
          <w:szCs w:val="24"/>
        </w:rPr>
        <w:cr/>
      </w:r>
      <w:r w:rsidRPr="00D612A6">
        <w:rPr>
          <w:rFonts w:ascii="Times New Roman" w:hAnsi="Times New Roman" w:cs="Times New Roman"/>
          <w:sz w:val="24"/>
          <w:szCs w:val="24"/>
        </w:rPr>
        <w:t>II.1.1) A szerződés típusa: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Árubeszerzés</w:t>
      </w:r>
    </w:p>
    <w:p w14:paraId="07FDB01B" w14:textId="77777777" w:rsidR="00FE4F6B" w:rsidRPr="00FE4F6B" w:rsidRDefault="00D612A6" w:rsidP="00FE4F6B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D612A6">
        <w:rPr>
          <w:rFonts w:ascii="Times New Roman" w:hAnsi="Times New Roman" w:cs="Times New Roman"/>
          <w:sz w:val="24"/>
          <w:szCs w:val="24"/>
        </w:rPr>
        <w:t xml:space="preserve">II.1.2) Fő </w:t>
      </w:r>
      <w:proofErr w:type="spellStart"/>
      <w:r w:rsidRPr="00D612A6">
        <w:rPr>
          <w:rFonts w:ascii="Times New Roman" w:hAnsi="Times New Roman" w:cs="Times New Roman"/>
          <w:sz w:val="24"/>
          <w:szCs w:val="24"/>
        </w:rPr>
        <w:t>CPV-kód</w:t>
      </w:r>
      <w:proofErr w:type="spellEnd"/>
      <w:r w:rsidRPr="00D612A6">
        <w:rPr>
          <w:rFonts w:ascii="Times New Roman" w:hAnsi="Times New Roman" w:cs="Times New Roman"/>
          <w:sz w:val="24"/>
          <w:szCs w:val="24"/>
        </w:rPr>
        <w:t>:</w:t>
      </w:r>
      <w:r w:rsidR="00A31FE3">
        <w:rPr>
          <w:rFonts w:ascii="Times New Roman" w:hAnsi="Times New Roman" w:cs="Times New Roman"/>
          <w:sz w:val="24"/>
          <w:szCs w:val="24"/>
        </w:rPr>
        <w:t xml:space="preserve"> </w:t>
      </w:r>
      <w:r w:rsidR="00FE4F6B" w:rsidRPr="00FE4F6B">
        <w:rPr>
          <w:rFonts w:ascii="Times New Roman" w:hAnsi="Times New Roman" w:cs="Times New Roman"/>
          <w:b/>
          <w:bCs/>
          <w:color w:val="00B0F0"/>
          <w:sz w:val="24"/>
          <w:szCs w:val="24"/>
        </w:rPr>
        <w:t>09000000-3</w:t>
      </w:r>
    </w:p>
    <w:p w14:paraId="24B4C60B" w14:textId="17A55676" w:rsidR="00A31FE3" w:rsidRDefault="00A31FE3" w:rsidP="003F5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FE3">
        <w:rPr>
          <w:rFonts w:ascii="Times New Roman" w:hAnsi="Times New Roman" w:cs="Times New Roman"/>
          <w:sz w:val="24"/>
          <w:szCs w:val="24"/>
        </w:rPr>
        <w:t>II.1.3) A szerződés tárgya: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FF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Földgáz beszerzése egyetemes </w:t>
      </w:r>
      <w:proofErr w:type="spellStart"/>
      <w:r w:rsidR="001B54FF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szolg</w:t>
      </w:r>
      <w:proofErr w:type="spellEnd"/>
      <w:r w:rsidR="001B54FF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. </w:t>
      </w:r>
      <w:proofErr w:type="gramStart"/>
      <w:r w:rsidR="001B54FF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keretében</w:t>
      </w:r>
      <w:proofErr w:type="gramEnd"/>
    </w:p>
    <w:p w14:paraId="461E4752" w14:textId="77777777" w:rsidR="00C5187E" w:rsidRDefault="00C5187E" w:rsidP="003F52EF">
      <w:pPr>
        <w:rPr>
          <w:rFonts w:ascii="Times New Roman" w:hAnsi="Times New Roman" w:cs="Times New Roman"/>
          <w:sz w:val="24"/>
          <w:szCs w:val="24"/>
        </w:rPr>
      </w:pPr>
      <w:r w:rsidRPr="00C5187E">
        <w:rPr>
          <w:rFonts w:ascii="Times New Roman" w:hAnsi="Times New Roman" w:cs="Times New Roman"/>
          <w:sz w:val="24"/>
          <w:szCs w:val="24"/>
        </w:rPr>
        <w:t>II.1.4) A közbeszerzés mennyisége:</w:t>
      </w:r>
    </w:p>
    <w:p w14:paraId="4642455F" w14:textId="10557C1B" w:rsidR="00953F13" w:rsidRDefault="007E540B" w:rsidP="00953F13">
      <w:pPr>
        <w:ind w:right="-794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7E540B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Ajánlatkérő elvárása földgáz adásvételi szerződés keretében az Ajánlatkérő részére a magyar földgáz hálózaton folyamatosan rendelkezésre álló, szabványos minőségű földgáz energia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biztosítása</w:t>
      </w:r>
      <w:r w:rsidRPr="007E540B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egy évre (2022.10.01. gáznap kezdete - 2023.09.30. gáznap vége) vonatkozóan, teljes ellátásalapú földgáz-kereskedelmi szerződés keretében, mely magában foglalja a rendszerhasználati díjak és a földgázvásárláshoz kapcsolódó államilag előírt, az Ajánlatkérő terhére eső költségek, díjak, adók és más járulékok </w:t>
      </w:r>
      <w:proofErr w:type="spellStart"/>
      <w:r w:rsidRPr="007E540B">
        <w:rPr>
          <w:rFonts w:ascii="Times New Roman" w:hAnsi="Times New Roman" w:cs="Times New Roman"/>
          <w:b/>
          <w:bCs/>
          <w:color w:val="00B0F0"/>
          <w:sz w:val="24"/>
          <w:szCs w:val="24"/>
        </w:rPr>
        <w:t>teljeskörű</w:t>
      </w:r>
      <w:proofErr w:type="spellEnd"/>
      <w:r w:rsidRPr="007E540B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elszámolását is</w:t>
      </w:r>
      <w:r w:rsidR="00953F13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. </w:t>
      </w:r>
    </w:p>
    <w:p w14:paraId="74F39FBE" w14:textId="0F4BDB0F" w:rsidR="007E43B5" w:rsidRDefault="00935196" w:rsidP="00D3706D">
      <w:pPr>
        <w:ind w:right="-794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S</w:t>
      </w:r>
      <w:r w:rsidRPr="00935196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zabványos minőségű földgáz energia </w:t>
      </w:r>
      <w:r w:rsidR="00D3706D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biztosítása várhatóan mindösszesen </w:t>
      </w:r>
      <w:r w:rsidRPr="00935196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3.056.078 kWh </w:t>
      </w:r>
      <w:r w:rsidR="00D3706D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+ </w:t>
      </w:r>
      <w:r w:rsidR="00432844">
        <w:rPr>
          <w:rFonts w:ascii="Times New Roman" w:hAnsi="Times New Roman" w:cs="Times New Roman"/>
          <w:b/>
          <w:bCs/>
          <w:color w:val="00B0F0"/>
          <w:sz w:val="24"/>
          <w:szCs w:val="24"/>
        </w:rPr>
        <w:t>30</w:t>
      </w:r>
      <w:r w:rsidR="00D3706D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% (azaz </w:t>
      </w:r>
      <w:r w:rsidR="00432844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~ </w:t>
      </w:r>
      <w:r w:rsidRPr="00935196">
        <w:rPr>
          <w:rFonts w:ascii="Times New Roman" w:hAnsi="Times New Roman" w:cs="Times New Roman"/>
          <w:b/>
          <w:bCs/>
          <w:color w:val="00B0F0"/>
          <w:sz w:val="24"/>
          <w:szCs w:val="24"/>
        </w:rPr>
        <w:t>3.972.901 kWh</w:t>
      </w:r>
      <w:r w:rsidR="00D3706D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) mennyiségben. A szerződött mennyiség + </w:t>
      </w:r>
      <w:r w:rsidR="00432844">
        <w:rPr>
          <w:rFonts w:ascii="Times New Roman" w:hAnsi="Times New Roman" w:cs="Times New Roman"/>
          <w:b/>
          <w:bCs/>
          <w:color w:val="00B0F0"/>
          <w:sz w:val="24"/>
          <w:szCs w:val="24"/>
        </w:rPr>
        <w:t>30</w:t>
      </w:r>
      <w:r w:rsidR="00D3706D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% </w:t>
      </w:r>
      <w:r w:rsidR="00867518">
        <w:rPr>
          <w:rFonts w:ascii="Times New Roman" w:hAnsi="Times New Roman" w:cs="Times New Roman"/>
          <w:b/>
          <w:bCs/>
          <w:color w:val="00B0F0"/>
          <w:sz w:val="24"/>
          <w:szCs w:val="24"/>
        </w:rPr>
        <w:t>opciót</w:t>
      </w:r>
      <w:r w:rsidR="00D3706D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tartalmaz azzal, hogy Ajánlatkérő az eltérés mennyiséget a meghatározott felhasználóhelyeken kívül újabb fogyasztási helyek tekintetében is felhasználhatja. A rögzített </w:t>
      </w:r>
      <w:r w:rsidR="00432844">
        <w:rPr>
          <w:rFonts w:ascii="Times New Roman" w:hAnsi="Times New Roman" w:cs="Times New Roman"/>
          <w:b/>
          <w:bCs/>
          <w:color w:val="00B0F0"/>
          <w:sz w:val="24"/>
          <w:szCs w:val="24"/>
        </w:rPr>
        <w:t>30</w:t>
      </w:r>
      <w:r w:rsidR="00D3706D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%-os eltérés pótdíjmentes, melynek felhasználására ajánlatkérő nem vállal kötelezettséget</w:t>
      </w:r>
      <w:r w:rsidR="007E43B5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.</w:t>
      </w:r>
    </w:p>
    <w:p w14:paraId="6C1F800D" w14:textId="6A2F6A7F" w:rsidR="000A33C9" w:rsidRPr="00AE0255" w:rsidRDefault="000A33C9" w:rsidP="000A33C9">
      <w:pPr>
        <w:ind w:right="-794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0A33C9">
        <w:rPr>
          <w:rFonts w:ascii="Times New Roman" w:hAnsi="Times New Roman" w:cs="Times New Roman"/>
          <w:b/>
          <w:bCs/>
          <w:color w:val="00B0F0"/>
          <w:sz w:val="24"/>
          <w:szCs w:val="24"/>
        </w:rPr>
        <w:t>A fogyasztási helyek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A33C9">
        <w:rPr>
          <w:rFonts w:ascii="Times New Roman" w:hAnsi="Times New Roman" w:cs="Times New Roman"/>
          <w:b/>
          <w:bCs/>
          <w:color w:val="00B0F0"/>
          <w:sz w:val="24"/>
          <w:szCs w:val="24"/>
        </w:rPr>
        <w:t>jellemzőit és tervezett fogyasztási adatait a közbeszerzési dokumentáció tartalmazza.</w:t>
      </w:r>
    </w:p>
    <w:p w14:paraId="12192C19" w14:textId="7263010E" w:rsidR="00BC2C3A" w:rsidRDefault="00BC2C3A" w:rsidP="00BC2C3A">
      <w:pPr>
        <w:ind w:left="708" w:right="-794" w:hanging="708"/>
        <w:jc w:val="both"/>
        <w:rPr>
          <w:rFonts w:ascii="Times New Roman" w:hAnsi="Times New Roman" w:cs="Times New Roman"/>
          <w:sz w:val="24"/>
          <w:szCs w:val="24"/>
        </w:rPr>
      </w:pPr>
      <w:r w:rsidRPr="00BC2C3A">
        <w:rPr>
          <w:rFonts w:ascii="Times New Roman" w:hAnsi="Times New Roman" w:cs="Times New Roman"/>
          <w:sz w:val="24"/>
          <w:szCs w:val="24"/>
        </w:rPr>
        <w:t>II.1.5) A szerződés időtartama, vagy a teljesítés határideje</w:t>
      </w:r>
    </w:p>
    <w:p w14:paraId="6ABD888E" w14:textId="601D9ABC" w:rsidR="00BC2C3A" w:rsidRDefault="00BC2C3A" w:rsidP="00BC2C3A">
      <w:pPr>
        <w:ind w:left="708" w:right="-79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időtartam napban: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867518" w:rsidRPr="00867518">
        <w:rPr>
          <w:rFonts w:ascii="Times New Roman" w:hAnsi="Times New Roman" w:cs="Times New Roman"/>
          <w:b/>
          <w:bCs/>
          <w:color w:val="00B0F0"/>
          <w:sz w:val="24"/>
          <w:szCs w:val="24"/>
        </w:rPr>
        <w:t>2022.10.01. – 2023.09.30.</w:t>
      </w:r>
    </w:p>
    <w:p w14:paraId="042CA8C0" w14:textId="6AC60C11" w:rsidR="00A40BF0" w:rsidRDefault="00A40BF0" w:rsidP="00BC2C3A">
      <w:pPr>
        <w:ind w:left="708" w:right="-79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BF0">
        <w:rPr>
          <w:rFonts w:ascii="Times New Roman" w:hAnsi="Times New Roman" w:cs="Times New Roman"/>
          <w:sz w:val="24"/>
          <w:szCs w:val="24"/>
        </w:rPr>
        <w:t>II.1.6) A teljesítés helye:</w:t>
      </w:r>
      <w:r w:rsidR="003B4834" w:rsidRPr="003B4834">
        <w:t xml:space="preserve"> </w:t>
      </w:r>
      <w:r w:rsidR="007958B3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Budapest</w:t>
      </w:r>
      <w:r w:rsidR="00DF1CD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XI</w:t>
      </w:r>
      <w:r w:rsidR="00867518">
        <w:rPr>
          <w:rFonts w:ascii="Times New Roman" w:hAnsi="Times New Roman" w:cs="Times New Roman"/>
          <w:b/>
          <w:bCs/>
          <w:color w:val="00B0F0"/>
          <w:sz w:val="24"/>
          <w:szCs w:val="24"/>
        </w:rPr>
        <w:t>V</w:t>
      </w:r>
      <w:r w:rsidR="00DF1CD5">
        <w:rPr>
          <w:rFonts w:ascii="Times New Roman" w:hAnsi="Times New Roman" w:cs="Times New Roman"/>
          <w:b/>
          <w:bCs/>
          <w:color w:val="00B0F0"/>
          <w:sz w:val="24"/>
          <w:szCs w:val="24"/>
        </w:rPr>
        <w:t>. kerület</w:t>
      </w:r>
    </w:p>
    <w:p w14:paraId="40527636" w14:textId="77777777" w:rsidR="00A40BF0" w:rsidRDefault="00A40BF0" w:rsidP="00BC2C3A">
      <w:pPr>
        <w:ind w:left="708" w:right="-79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40BF0">
        <w:rPr>
          <w:rFonts w:ascii="Times New Roman" w:hAnsi="Times New Roman" w:cs="Times New Roman"/>
          <w:sz w:val="24"/>
          <w:szCs w:val="24"/>
        </w:rPr>
        <w:t>II.1.7) Részekre bontás</w:t>
      </w:r>
    </w:p>
    <w:p w14:paraId="368DD2C1" w14:textId="77777777" w:rsidR="00A40BF0" w:rsidRDefault="00A40BF0" w:rsidP="00BC2C3A">
      <w:pPr>
        <w:ind w:left="708" w:right="-79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BF0">
        <w:rPr>
          <w:rFonts w:ascii="Times New Roman" w:hAnsi="Times New Roman" w:cs="Times New Roman"/>
          <w:sz w:val="24"/>
          <w:szCs w:val="24"/>
        </w:rPr>
        <w:t>Részajánlat tételre lehetőség van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Nem</w:t>
      </w:r>
    </w:p>
    <w:p w14:paraId="79DB077B" w14:textId="77777777" w:rsidR="00BC2C3A" w:rsidRDefault="00E20186" w:rsidP="00BC2C3A">
      <w:pPr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2C02DB">
        <w:rPr>
          <w:rFonts w:ascii="Times New Roman" w:hAnsi="Times New Roman" w:cs="Times New Roman"/>
          <w:sz w:val="24"/>
          <w:szCs w:val="24"/>
        </w:rPr>
        <w:t xml:space="preserve">A részajánlat tételének kizárásának </w:t>
      </w:r>
      <w:proofErr w:type="gramStart"/>
      <w:r w:rsidRPr="002C02DB">
        <w:rPr>
          <w:rFonts w:ascii="Times New Roman" w:hAnsi="Times New Roman" w:cs="Times New Roman"/>
          <w:sz w:val="24"/>
          <w:szCs w:val="24"/>
        </w:rPr>
        <w:t>indoka(</w:t>
      </w:r>
      <w:proofErr w:type="gramEnd"/>
      <w:r w:rsidRPr="002C02DB">
        <w:rPr>
          <w:rFonts w:ascii="Times New Roman" w:hAnsi="Times New Roman" w:cs="Times New Roman"/>
          <w:sz w:val="24"/>
          <w:szCs w:val="24"/>
        </w:rPr>
        <w:t>i):</w:t>
      </w:r>
    </w:p>
    <w:p w14:paraId="2A813F75" w14:textId="7752D15A" w:rsidR="00A91473" w:rsidRPr="00AE0255" w:rsidRDefault="00A91473" w:rsidP="002E71BF">
      <w:pPr>
        <w:spacing w:after="0"/>
        <w:ind w:right="-227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Ajánlatkérő a </w:t>
      </w:r>
      <w:proofErr w:type="spellStart"/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részajánlattétel</w:t>
      </w:r>
      <w:proofErr w:type="spellEnd"/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lehetőségét a beszerzés tárgyának és jellegének megfelelően megvizsgálta és akként határozott, hogy a beszerzési igény, a beszerzés tárgyának jellege és a szerződéshez kapcsolódó további körülmények, mint a beruházás mérete, jellege miatt és költséghatékonyság szempontja nem teszik lehetővé részekre történő ajánlattételt. A </w:t>
      </w:r>
      <w:proofErr w:type="gramStart"/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részekre</w:t>
      </w:r>
      <w:proofErr w:type="gramEnd"/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bontás csak az adminisztratív terheket növelné, valamint a részekre bontás kizárása nem jár a verseny szűkítésével, mivel csak egy gazdasági szereplő képes a szerződést teljesíteni. </w:t>
      </w:r>
    </w:p>
    <w:p w14:paraId="502F41E1" w14:textId="3FFF273C" w:rsidR="000E7857" w:rsidRDefault="000E7857" w:rsidP="006C3217">
      <w:pPr>
        <w:ind w:right="-227"/>
        <w:jc w:val="both"/>
        <w:rPr>
          <w:rFonts w:ascii="Times New Roman" w:hAnsi="Times New Roman" w:cs="Times New Roman"/>
          <w:sz w:val="24"/>
          <w:szCs w:val="24"/>
        </w:rPr>
      </w:pPr>
    </w:p>
    <w:p w14:paraId="3B9279E2" w14:textId="77777777" w:rsidR="00E20186" w:rsidRDefault="00E20186" w:rsidP="00BC2C3A">
      <w:pPr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186">
        <w:rPr>
          <w:rFonts w:ascii="Times New Roman" w:hAnsi="Times New Roman" w:cs="Times New Roman"/>
          <w:b/>
          <w:bCs/>
          <w:sz w:val="24"/>
          <w:szCs w:val="24"/>
        </w:rPr>
        <w:t>II.2) A közbeszerzés ismertetése</w:t>
      </w:r>
    </w:p>
    <w:p w14:paraId="40025928" w14:textId="6F9B20A8" w:rsidR="00AE0255" w:rsidRDefault="00E20186" w:rsidP="00BC2C3A">
      <w:pPr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E20186">
        <w:rPr>
          <w:rFonts w:ascii="Times New Roman" w:hAnsi="Times New Roman" w:cs="Times New Roman"/>
          <w:sz w:val="24"/>
          <w:szCs w:val="24"/>
        </w:rPr>
        <w:t>II.2.1) Elnevezés: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3C9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Földgáz beszerzése egyetemes </w:t>
      </w:r>
      <w:proofErr w:type="spellStart"/>
      <w:r w:rsidR="000A33C9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szolg</w:t>
      </w:r>
      <w:proofErr w:type="spellEnd"/>
      <w:r w:rsidR="000A33C9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. </w:t>
      </w:r>
      <w:proofErr w:type="gramStart"/>
      <w:r w:rsidR="000A33C9" w:rsidRPr="001B54FF">
        <w:rPr>
          <w:rFonts w:ascii="Times New Roman" w:hAnsi="Times New Roman" w:cs="Times New Roman"/>
          <w:b/>
          <w:bCs/>
          <w:color w:val="00B0F0"/>
          <w:sz w:val="24"/>
          <w:szCs w:val="24"/>
        </w:rPr>
        <w:t>keretében</w:t>
      </w:r>
      <w:proofErr w:type="gramEnd"/>
    </w:p>
    <w:p w14:paraId="195EDA19" w14:textId="58228983" w:rsidR="001F7917" w:rsidRDefault="001F7917" w:rsidP="00BC2C3A">
      <w:pPr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1F7917">
        <w:rPr>
          <w:rFonts w:ascii="Times New Roman" w:hAnsi="Times New Roman" w:cs="Times New Roman"/>
          <w:sz w:val="24"/>
          <w:szCs w:val="24"/>
        </w:rPr>
        <w:t xml:space="preserve">II.2.2) További </w:t>
      </w:r>
      <w:proofErr w:type="spellStart"/>
      <w:proofErr w:type="gramStart"/>
      <w:r w:rsidRPr="001F7917">
        <w:rPr>
          <w:rFonts w:ascii="Times New Roman" w:hAnsi="Times New Roman" w:cs="Times New Roman"/>
          <w:sz w:val="24"/>
          <w:szCs w:val="24"/>
        </w:rPr>
        <w:t>CPV-kód</w:t>
      </w:r>
      <w:proofErr w:type="spellEnd"/>
      <w:r w:rsidRPr="001F79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7917">
        <w:rPr>
          <w:rFonts w:ascii="Times New Roman" w:hAnsi="Times New Roman" w:cs="Times New Roman"/>
          <w:sz w:val="24"/>
          <w:szCs w:val="24"/>
        </w:rPr>
        <w:t>ok):</w:t>
      </w:r>
    </w:p>
    <w:p w14:paraId="66E1B1BE" w14:textId="6490FFBE" w:rsidR="001F7917" w:rsidRDefault="001F7917" w:rsidP="00BC2C3A">
      <w:pPr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917">
        <w:rPr>
          <w:rFonts w:ascii="Times New Roman" w:hAnsi="Times New Roman" w:cs="Times New Roman"/>
          <w:sz w:val="24"/>
          <w:szCs w:val="24"/>
        </w:rPr>
        <w:t xml:space="preserve">Fő </w:t>
      </w:r>
      <w:proofErr w:type="spellStart"/>
      <w:r w:rsidRPr="001F7917">
        <w:rPr>
          <w:rFonts w:ascii="Times New Roman" w:hAnsi="Times New Roman" w:cs="Times New Roman"/>
          <w:sz w:val="24"/>
          <w:szCs w:val="24"/>
        </w:rPr>
        <w:t>CPV-kód</w:t>
      </w:r>
      <w:proofErr w:type="spellEnd"/>
      <w:r w:rsidRPr="001F79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3C9" w:rsidRPr="00FE4F6B">
        <w:rPr>
          <w:rFonts w:ascii="Times New Roman" w:hAnsi="Times New Roman" w:cs="Times New Roman"/>
          <w:b/>
          <w:bCs/>
          <w:color w:val="00B0F0"/>
          <w:sz w:val="24"/>
          <w:szCs w:val="24"/>
        </w:rPr>
        <w:t>09000000-3</w:t>
      </w:r>
    </w:p>
    <w:p w14:paraId="7B6CBCDB" w14:textId="77777777" w:rsidR="001F7917" w:rsidRDefault="001F7917" w:rsidP="00BC2C3A">
      <w:pPr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1F7917">
        <w:rPr>
          <w:rFonts w:ascii="Times New Roman" w:hAnsi="Times New Roman" w:cs="Times New Roman"/>
          <w:sz w:val="24"/>
          <w:szCs w:val="24"/>
        </w:rPr>
        <w:lastRenderedPageBreak/>
        <w:t>II.2.3) A teljesítés helye:</w:t>
      </w:r>
    </w:p>
    <w:p w14:paraId="159620E9" w14:textId="44F81772" w:rsidR="001F7917" w:rsidRDefault="001F7917" w:rsidP="00BC2C3A">
      <w:pPr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7917">
        <w:rPr>
          <w:rFonts w:ascii="Times New Roman" w:hAnsi="Times New Roman" w:cs="Times New Roman"/>
          <w:sz w:val="24"/>
          <w:szCs w:val="24"/>
        </w:rPr>
        <w:t>NUTS-kód</w:t>
      </w:r>
      <w:proofErr w:type="spellEnd"/>
      <w:r w:rsidRPr="001F79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317">
        <w:rPr>
          <w:rFonts w:ascii="Times New Roman" w:hAnsi="Times New Roman" w:cs="Times New Roman"/>
          <w:b/>
          <w:bCs/>
          <w:color w:val="00B0F0"/>
          <w:sz w:val="24"/>
          <w:szCs w:val="24"/>
        </w:rPr>
        <w:t>HU1</w:t>
      </w:r>
      <w:r w:rsidR="006B77E6" w:rsidRPr="000F7317">
        <w:rPr>
          <w:rFonts w:ascii="Times New Roman" w:hAnsi="Times New Roman" w:cs="Times New Roman"/>
          <w:b/>
          <w:bCs/>
          <w:color w:val="00B0F0"/>
          <w:sz w:val="24"/>
          <w:szCs w:val="24"/>
        </w:rPr>
        <w:t>10</w:t>
      </w:r>
    </w:p>
    <w:p w14:paraId="3B794E28" w14:textId="3AB031C9" w:rsidR="00A11BCA" w:rsidRDefault="00A11BCA" w:rsidP="00BC2C3A">
      <w:pPr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BCA">
        <w:rPr>
          <w:rFonts w:ascii="Times New Roman" w:hAnsi="Times New Roman" w:cs="Times New Roman"/>
          <w:sz w:val="24"/>
          <w:szCs w:val="24"/>
        </w:rPr>
        <w:t>A teljesítés fő helyszíne: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3C9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Budapest</w:t>
      </w:r>
      <w:r w:rsidR="000A33C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XIV. kerület</w:t>
      </w:r>
    </w:p>
    <w:p w14:paraId="37B82142" w14:textId="77777777" w:rsidR="00A11BCA" w:rsidRDefault="00A11BCA" w:rsidP="00BC2C3A">
      <w:pPr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11BCA">
        <w:rPr>
          <w:rFonts w:ascii="Times New Roman" w:hAnsi="Times New Roman" w:cs="Times New Roman"/>
          <w:sz w:val="24"/>
          <w:szCs w:val="24"/>
        </w:rPr>
        <w:t>II.2.4) A közbeszerzés mennyisége:</w:t>
      </w:r>
    </w:p>
    <w:p w14:paraId="34845E49" w14:textId="77777777" w:rsidR="000A33C9" w:rsidRDefault="000A33C9" w:rsidP="000A33C9">
      <w:pPr>
        <w:ind w:right="-794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7E540B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Ajánlatkérő elvárása földgáz adásvételi szerződés keretében az Ajánlatkérő részére a magyar földgáz hálózaton folyamatosan rendelkezésre álló, szabványos minőségű földgáz energia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biztosítása</w:t>
      </w:r>
      <w:r w:rsidRPr="007E540B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egy évre (2022.10.01. gáznap kezdete - 2023.09.30. gáznap vége) vonatkozóan, teljes ellátásalapú földgáz-kereskedelmi szerződés keretében, mely magában foglalja a rendszerhasználati díjak és a földgázvásárláshoz kapcsolódó államilag előírt, az Ajánlatkérő terhére eső költségek, díjak, adók és más járulékok </w:t>
      </w:r>
      <w:proofErr w:type="spellStart"/>
      <w:r w:rsidRPr="007E540B">
        <w:rPr>
          <w:rFonts w:ascii="Times New Roman" w:hAnsi="Times New Roman" w:cs="Times New Roman"/>
          <w:b/>
          <w:bCs/>
          <w:color w:val="00B0F0"/>
          <w:sz w:val="24"/>
          <w:szCs w:val="24"/>
        </w:rPr>
        <w:t>teljeskörű</w:t>
      </w:r>
      <w:proofErr w:type="spellEnd"/>
      <w:r w:rsidRPr="007E540B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elszámolását is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. </w:t>
      </w:r>
    </w:p>
    <w:p w14:paraId="5521EDBC" w14:textId="582CF876" w:rsidR="000A33C9" w:rsidRDefault="000A33C9" w:rsidP="000A33C9">
      <w:pPr>
        <w:ind w:right="-794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S</w:t>
      </w:r>
      <w:r w:rsidRPr="00935196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zabványos minőségű földgáz energia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biztosítása várhatóan mindösszesen </w:t>
      </w:r>
      <w:r w:rsidRPr="00935196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3.056.078 kWh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+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30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%</w:t>
      </w:r>
      <w:r w:rsidR="00A10CE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opció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(azaz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~ </w:t>
      </w:r>
      <w:r w:rsidRPr="00935196">
        <w:rPr>
          <w:rFonts w:ascii="Times New Roman" w:hAnsi="Times New Roman" w:cs="Times New Roman"/>
          <w:b/>
          <w:bCs/>
          <w:color w:val="00B0F0"/>
          <w:sz w:val="24"/>
          <w:szCs w:val="24"/>
        </w:rPr>
        <w:t>3.972.901 kWh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) mennyiségben. A szerződött mennyiség +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30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%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opciót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tartalmaz azzal, hogy Ajánlatkérő az </w:t>
      </w:r>
      <w:r w:rsidR="00A10CE9">
        <w:rPr>
          <w:rFonts w:ascii="Times New Roman" w:hAnsi="Times New Roman" w:cs="Times New Roman"/>
          <w:b/>
          <w:bCs/>
          <w:color w:val="00B0F0"/>
          <w:sz w:val="24"/>
          <w:szCs w:val="24"/>
        </w:rPr>
        <w:t>opció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mennyiséget a meghatározott felhasználóhelyeken kívül újabb fogyasztási helyek tekintetében is felhasználhatja. A rögzített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30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%-os </w:t>
      </w:r>
      <w:r w:rsidR="00A10CE9">
        <w:rPr>
          <w:rFonts w:ascii="Times New Roman" w:hAnsi="Times New Roman" w:cs="Times New Roman"/>
          <w:b/>
          <w:bCs/>
          <w:color w:val="00B0F0"/>
          <w:sz w:val="24"/>
          <w:szCs w:val="24"/>
        </w:rPr>
        <w:t>opció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pótdíjmentes, melynek felhasználására ajánlatkérő nem vállal kötelezettséget.</w:t>
      </w:r>
    </w:p>
    <w:p w14:paraId="0C97DE8B" w14:textId="48F1B6EF" w:rsidR="005035C4" w:rsidRPr="000A33C9" w:rsidRDefault="000A33C9" w:rsidP="000A33C9">
      <w:pPr>
        <w:ind w:right="-794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0A33C9">
        <w:rPr>
          <w:rFonts w:ascii="Times New Roman" w:hAnsi="Times New Roman" w:cs="Times New Roman"/>
          <w:b/>
          <w:bCs/>
          <w:color w:val="00B0F0"/>
          <w:sz w:val="24"/>
          <w:szCs w:val="24"/>
        </w:rPr>
        <w:t>A fogyasztási helyek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A33C9">
        <w:rPr>
          <w:rFonts w:ascii="Times New Roman" w:hAnsi="Times New Roman" w:cs="Times New Roman"/>
          <w:b/>
          <w:bCs/>
          <w:color w:val="00B0F0"/>
          <w:sz w:val="24"/>
          <w:szCs w:val="24"/>
        </w:rPr>
        <w:t>jellemzőit és tervezett fogyasztási adatait a közbeszerzési dokumentáció tartalmazza.</w:t>
      </w:r>
    </w:p>
    <w:p w14:paraId="394123EF" w14:textId="77777777" w:rsidR="00083DD4" w:rsidRDefault="00083DD4" w:rsidP="00A11BCA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083DD4">
        <w:rPr>
          <w:rFonts w:ascii="Times New Roman" w:hAnsi="Times New Roman" w:cs="Times New Roman"/>
          <w:sz w:val="24"/>
          <w:szCs w:val="24"/>
        </w:rPr>
        <w:t>II.2.5) Értékelési szempontok</w:t>
      </w:r>
    </w:p>
    <w:p w14:paraId="130C4C76" w14:textId="77777777" w:rsidR="00083DD4" w:rsidRDefault="00083DD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DD4">
        <w:rPr>
          <w:rFonts w:ascii="Times New Roman" w:hAnsi="Times New Roman" w:cs="Times New Roman"/>
          <w:sz w:val="24"/>
          <w:szCs w:val="24"/>
        </w:rPr>
        <w:t>Az alábbiakban megadott szempontok: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Ár</w:t>
      </w:r>
    </w:p>
    <w:p w14:paraId="59DE0D07" w14:textId="77777777" w:rsidR="00083DD4" w:rsidRDefault="00083DD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083DD4">
        <w:rPr>
          <w:rFonts w:ascii="Times New Roman" w:hAnsi="Times New Roman" w:cs="Times New Roman"/>
          <w:sz w:val="24"/>
          <w:szCs w:val="24"/>
        </w:rPr>
        <w:t>Az ár nem az egyetlen odaítélési kritérium, az összes kritérium kizárólag a közbeszerzési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6AE4B" w14:textId="77777777" w:rsidR="00083DD4" w:rsidRDefault="00083DD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83DD4">
        <w:rPr>
          <w:rFonts w:ascii="Times New Roman" w:hAnsi="Times New Roman" w:cs="Times New Roman"/>
          <w:sz w:val="24"/>
          <w:szCs w:val="24"/>
        </w:rPr>
        <w:t>dokumentációban</w:t>
      </w:r>
      <w:proofErr w:type="gramEnd"/>
      <w:r w:rsidRPr="00083DD4">
        <w:rPr>
          <w:rFonts w:ascii="Times New Roman" w:hAnsi="Times New Roman" w:cs="Times New Roman"/>
          <w:sz w:val="24"/>
          <w:szCs w:val="24"/>
        </w:rPr>
        <w:t xml:space="preserve">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DD4">
        <w:rPr>
          <w:rFonts w:ascii="Times New Roman" w:hAnsi="Times New Roman" w:cs="Times New Roman"/>
          <w:sz w:val="24"/>
          <w:szCs w:val="24"/>
        </w:rPr>
        <w:t>meghatározásra: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Nem</w:t>
      </w:r>
    </w:p>
    <w:p w14:paraId="33794A8A" w14:textId="77777777" w:rsidR="00914F84" w:rsidRDefault="00914F8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D5B0F" w14:textId="77777777" w:rsidR="00914F84" w:rsidRDefault="00914F8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914F84">
        <w:rPr>
          <w:rFonts w:ascii="Times New Roman" w:hAnsi="Times New Roman" w:cs="Times New Roman"/>
          <w:sz w:val="24"/>
          <w:szCs w:val="24"/>
        </w:rPr>
        <w:t>II.2.6) Becsült teljes érték vagy nagyságrend:</w:t>
      </w:r>
    </w:p>
    <w:p w14:paraId="1A0B40DE" w14:textId="77777777" w:rsidR="00914F84" w:rsidRDefault="00914F8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914F84">
        <w:rPr>
          <w:rFonts w:ascii="Times New Roman" w:hAnsi="Times New Roman" w:cs="Times New Roman"/>
          <w:sz w:val="24"/>
          <w:szCs w:val="24"/>
        </w:rPr>
        <w:t>Érték áfa nélkül: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4F84">
        <w:rPr>
          <w:rFonts w:ascii="Times New Roman" w:hAnsi="Times New Roman" w:cs="Times New Roman"/>
          <w:sz w:val="24"/>
          <w:szCs w:val="24"/>
        </w:rPr>
        <w:t>Pénznem:</w:t>
      </w:r>
    </w:p>
    <w:p w14:paraId="3CC44623" w14:textId="77777777" w:rsidR="00914F84" w:rsidRDefault="00914F8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50C37D1D" w14:textId="77777777" w:rsidR="00914F84" w:rsidRDefault="00914F8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914F84">
        <w:rPr>
          <w:rFonts w:ascii="Times New Roman" w:hAnsi="Times New Roman" w:cs="Times New Roman"/>
          <w:sz w:val="24"/>
          <w:szCs w:val="24"/>
        </w:rPr>
        <w:t xml:space="preserve">II.2.7) A szerződés, a </w:t>
      </w:r>
      <w:proofErr w:type="spellStart"/>
      <w:r w:rsidRPr="00914F84">
        <w:rPr>
          <w:rFonts w:ascii="Times New Roman" w:hAnsi="Times New Roman" w:cs="Times New Roman"/>
          <w:sz w:val="24"/>
          <w:szCs w:val="24"/>
        </w:rPr>
        <w:t>keretmegállapodás</w:t>
      </w:r>
      <w:proofErr w:type="spellEnd"/>
      <w:r w:rsidRPr="00914F84">
        <w:rPr>
          <w:rFonts w:ascii="Times New Roman" w:hAnsi="Times New Roman" w:cs="Times New Roman"/>
          <w:sz w:val="24"/>
          <w:szCs w:val="24"/>
        </w:rPr>
        <w:t xml:space="preserve"> vagy a dinamikus beszerzési rendszer időtartama</w:t>
      </w:r>
    </w:p>
    <w:p w14:paraId="76A3978D" w14:textId="77777777" w:rsidR="00914F84" w:rsidRDefault="00914F8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914F84">
        <w:rPr>
          <w:rFonts w:ascii="Times New Roman" w:hAnsi="Times New Roman" w:cs="Times New Roman"/>
          <w:sz w:val="24"/>
          <w:szCs w:val="24"/>
        </w:rPr>
        <w:t>Időtartam hónapban:</w:t>
      </w:r>
    </w:p>
    <w:p w14:paraId="7CF9EA24" w14:textId="4D1ED5A1" w:rsidR="00914F84" w:rsidRDefault="00914F8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14F84">
        <w:rPr>
          <w:rFonts w:ascii="Times New Roman" w:hAnsi="Times New Roman" w:cs="Times New Roman"/>
          <w:sz w:val="24"/>
          <w:szCs w:val="24"/>
        </w:rPr>
        <w:t>vagy</w:t>
      </w:r>
      <w:proofErr w:type="gramEnd"/>
      <w:r w:rsidRPr="00914F84">
        <w:rPr>
          <w:rFonts w:ascii="Times New Roman" w:hAnsi="Times New Roman" w:cs="Times New Roman"/>
          <w:sz w:val="24"/>
          <w:szCs w:val="24"/>
        </w:rPr>
        <w:t xml:space="preserve"> Munkanapokban kifejezett időtartam: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1F6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határozatlan</w:t>
      </w:r>
    </w:p>
    <w:p w14:paraId="1A9852E7" w14:textId="77777777" w:rsidR="00914F84" w:rsidRDefault="00914F84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84">
        <w:rPr>
          <w:rFonts w:ascii="Times New Roman" w:hAnsi="Times New Roman" w:cs="Times New Roman"/>
          <w:sz w:val="24"/>
          <w:szCs w:val="24"/>
        </w:rPr>
        <w:t>vagy</w:t>
      </w:r>
      <w:proofErr w:type="gramEnd"/>
      <w:r w:rsidRPr="00914F84">
        <w:rPr>
          <w:rFonts w:ascii="Times New Roman" w:hAnsi="Times New Roman" w:cs="Times New Roman"/>
          <w:sz w:val="24"/>
          <w:szCs w:val="24"/>
        </w:rPr>
        <w:t xml:space="preserve"> Kezdés dátuma – Befejezés dátuma:</w:t>
      </w:r>
    </w:p>
    <w:p w14:paraId="60B12A14" w14:textId="77777777" w:rsidR="00B03D80" w:rsidRDefault="00B03D80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D80">
        <w:rPr>
          <w:rFonts w:ascii="Times New Roman" w:hAnsi="Times New Roman" w:cs="Times New Roman"/>
          <w:sz w:val="24"/>
          <w:szCs w:val="24"/>
        </w:rPr>
        <w:t>A szerződés meghosszabbítható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Nem</w:t>
      </w:r>
    </w:p>
    <w:p w14:paraId="07A82A05" w14:textId="77777777" w:rsidR="00B03D80" w:rsidRDefault="00B03D80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5960B2BE" w14:textId="77777777" w:rsidR="00B03D80" w:rsidRDefault="00B03D80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B03D80">
        <w:rPr>
          <w:rFonts w:ascii="Times New Roman" w:hAnsi="Times New Roman" w:cs="Times New Roman"/>
          <w:sz w:val="24"/>
          <w:szCs w:val="24"/>
        </w:rPr>
        <w:t>II.2.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3D80">
        <w:rPr>
          <w:rFonts w:ascii="Times New Roman" w:hAnsi="Times New Roman" w:cs="Times New Roman"/>
          <w:sz w:val="24"/>
          <w:szCs w:val="24"/>
        </w:rPr>
        <w:t>) Változatokra vonatkozó információk</w:t>
      </w:r>
    </w:p>
    <w:p w14:paraId="6DB61450" w14:textId="77777777" w:rsidR="00B03D80" w:rsidRDefault="00B03D80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D80">
        <w:rPr>
          <w:rFonts w:ascii="Times New Roman" w:hAnsi="Times New Roman" w:cs="Times New Roman"/>
          <w:sz w:val="24"/>
          <w:szCs w:val="24"/>
        </w:rPr>
        <w:t>Elfogadható változatok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Nem</w:t>
      </w:r>
    </w:p>
    <w:p w14:paraId="7D363379" w14:textId="77777777" w:rsidR="00B03D80" w:rsidRDefault="00B03D80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1B73F" w14:textId="77777777" w:rsidR="00B03D80" w:rsidRDefault="00B03D80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B03D80">
        <w:rPr>
          <w:rFonts w:ascii="Times New Roman" w:hAnsi="Times New Roman" w:cs="Times New Roman"/>
          <w:sz w:val="24"/>
          <w:szCs w:val="24"/>
        </w:rPr>
        <w:t>II.2.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3D80">
        <w:rPr>
          <w:rFonts w:ascii="Times New Roman" w:hAnsi="Times New Roman" w:cs="Times New Roman"/>
          <w:sz w:val="24"/>
          <w:szCs w:val="24"/>
        </w:rPr>
        <w:t>) Opciókra vonatkozó információ</w:t>
      </w:r>
    </w:p>
    <w:p w14:paraId="76BFC353" w14:textId="32F672B5" w:rsidR="00B03D80" w:rsidRDefault="00B03D80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D80">
        <w:rPr>
          <w:rFonts w:ascii="Times New Roman" w:hAnsi="Times New Roman" w:cs="Times New Roman"/>
          <w:sz w:val="24"/>
          <w:szCs w:val="24"/>
        </w:rPr>
        <w:t>Opciók: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1F6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Igen</w:t>
      </w:r>
    </w:p>
    <w:p w14:paraId="16AFB520" w14:textId="2C92BE0C" w:rsidR="002821F6" w:rsidRDefault="002821F6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A947" w14:textId="751501DF" w:rsidR="002821F6" w:rsidRPr="00AE0255" w:rsidRDefault="002821F6" w:rsidP="009A682B">
      <w:pPr>
        <w:spacing w:after="0"/>
        <w:ind w:right="-227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Az ajánlatkérő a Kbt.141.§ (4) bekezdés a) pontjára tekintettel is rögzíti az alábbiakat: Az AK a Szerződés időtartama alatt az alábbiakban meghatározott módon, egyoldalúan jogosult opciós jogot gyakorolni további, </w:t>
      </w:r>
      <w:r w:rsidRPr="004F575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évente </w:t>
      </w:r>
      <w:r w:rsidR="00432844" w:rsidRPr="004F5759">
        <w:rPr>
          <w:rFonts w:ascii="Times New Roman" w:hAnsi="Times New Roman" w:cs="Times New Roman"/>
          <w:b/>
          <w:bCs/>
          <w:color w:val="00B0F0"/>
          <w:sz w:val="24"/>
          <w:szCs w:val="24"/>
        </w:rPr>
        <w:t>30</w:t>
      </w:r>
      <w:r w:rsidRPr="004F5759">
        <w:rPr>
          <w:rFonts w:ascii="Times New Roman" w:hAnsi="Times New Roman" w:cs="Times New Roman"/>
          <w:b/>
          <w:bCs/>
          <w:color w:val="00B0F0"/>
          <w:sz w:val="24"/>
          <w:szCs w:val="24"/>
        </w:rPr>
        <w:t>% (</w:t>
      </w:r>
      <w:r w:rsidR="00DE22A1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~ </w:t>
      </w:r>
      <w:r w:rsidR="00DE22A1" w:rsidRPr="00DE22A1">
        <w:rPr>
          <w:rFonts w:ascii="Times New Roman" w:hAnsi="Times New Roman" w:cs="Times New Roman"/>
          <w:b/>
          <w:bCs/>
          <w:color w:val="00B0F0"/>
          <w:sz w:val="24"/>
          <w:szCs w:val="24"/>
        </w:rPr>
        <w:t>916 823</w:t>
      </w:r>
      <w:r w:rsidR="00CF5151" w:rsidRPr="004F575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kWh)</w:t>
      </w:r>
      <w:r w:rsidRPr="004F575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DE22A1">
        <w:rPr>
          <w:rFonts w:ascii="Times New Roman" w:hAnsi="Times New Roman" w:cs="Times New Roman"/>
          <w:b/>
          <w:bCs/>
          <w:color w:val="00B0F0"/>
          <w:sz w:val="24"/>
          <w:szCs w:val="24"/>
        </w:rPr>
        <w:t>földgáz</w:t>
      </w:r>
      <w:r w:rsidRPr="004F575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mennyiség (opciós mennyiség)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megvásárlására. Az opció egyoldalú jognyilatkozat útján történő, gyakorlásával a nyertes ajánlattevőnek egyidejűleg teljesítési kötelezettsége keletkezik. Felek az opció gyakorlásához szükséges, jognyilatkozatnak tekintik az opciós mennyiségből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lastRenderedPageBreak/>
        <w:t xml:space="preserve">történő bármilyen mennyiségű </w:t>
      </w:r>
      <w:r w:rsidR="00DE22A1">
        <w:rPr>
          <w:rFonts w:ascii="Times New Roman" w:hAnsi="Times New Roman" w:cs="Times New Roman"/>
          <w:b/>
          <w:bCs/>
          <w:color w:val="00B0F0"/>
          <w:sz w:val="24"/>
          <w:szCs w:val="24"/>
        </w:rPr>
        <w:t>földgáz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vételezést / felhasználást, azzal, hogy az AK jelen pont szerinti opciós mennyiségből történő részbeni felhasználása semmi esetre sem keletkeztet kötelezettséget a teljes opciós mennyiség átvételére.</w:t>
      </w:r>
    </w:p>
    <w:p w14:paraId="35B54662" w14:textId="77777777" w:rsidR="00197C5B" w:rsidRDefault="00197C5B" w:rsidP="009A682B">
      <w:pPr>
        <w:spacing w:after="0"/>
        <w:ind w:right="-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9E191" w14:textId="77777777" w:rsidR="00197C5B" w:rsidRDefault="00197C5B" w:rsidP="00083DD4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197C5B">
        <w:rPr>
          <w:rFonts w:ascii="Times New Roman" w:hAnsi="Times New Roman" w:cs="Times New Roman"/>
          <w:sz w:val="24"/>
          <w:szCs w:val="24"/>
        </w:rPr>
        <w:t>II.2.1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97C5B">
        <w:rPr>
          <w:rFonts w:ascii="Times New Roman" w:hAnsi="Times New Roman" w:cs="Times New Roman"/>
          <w:sz w:val="24"/>
          <w:szCs w:val="24"/>
        </w:rPr>
        <w:t>) Információ az elektronikus katalógusokról</w:t>
      </w:r>
    </w:p>
    <w:p w14:paraId="412F217C" w14:textId="77777777" w:rsidR="00197C5B" w:rsidRDefault="00197C5B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197C5B">
        <w:rPr>
          <w:rFonts w:ascii="Times New Roman" w:hAnsi="Times New Roman" w:cs="Times New Roman"/>
          <w:sz w:val="24"/>
          <w:szCs w:val="24"/>
        </w:rPr>
        <w:t>Az ajánlatokat elektronikus katalógus formájában kell benyújtani, vagy azoknak elektronikus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47986" w14:textId="77777777" w:rsidR="00197C5B" w:rsidRDefault="00197C5B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C5B">
        <w:rPr>
          <w:rFonts w:ascii="Times New Roman" w:hAnsi="Times New Roman" w:cs="Times New Roman"/>
          <w:sz w:val="24"/>
          <w:szCs w:val="24"/>
        </w:rPr>
        <w:t>katalógust</w:t>
      </w:r>
      <w:proofErr w:type="gramEnd"/>
      <w:r w:rsidRPr="00197C5B">
        <w:rPr>
          <w:rFonts w:ascii="Times New Roman" w:hAnsi="Times New Roman" w:cs="Times New Roman"/>
          <w:sz w:val="24"/>
          <w:szCs w:val="24"/>
        </w:rPr>
        <w:t xml:space="preserve"> kell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5B">
        <w:rPr>
          <w:rFonts w:ascii="Times New Roman" w:hAnsi="Times New Roman" w:cs="Times New Roman"/>
          <w:sz w:val="24"/>
          <w:szCs w:val="24"/>
        </w:rPr>
        <w:t>tartalmazniuk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Nem</w:t>
      </w:r>
    </w:p>
    <w:p w14:paraId="3A56DD9A" w14:textId="77777777" w:rsidR="00197C5B" w:rsidRDefault="00197C5B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02135" w14:textId="77777777" w:rsidR="00197C5B" w:rsidRDefault="00197C5B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197C5B">
        <w:rPr>
          <w:rFonts w:ascii="Times New Roman" w:hAnsi="Times New Roman" w:cs="Times New Roman"/>
          <w:sz w:val="24"/>
          <w:szCs w:val="24"/>
        </w:rPr>
        <w:t>II.2.1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7C5B">
        <w:rPr>
          <w:rFonts w:ascii="Times New Roman" w:hAnsi="Times New Roman" w:cs="Times New Roman"/>
          <w:sz w:val="24"/>
          <w:szCs w:val="24"/>
        </w:rPr>
        <w:t>) Európai uniós alapokra vonatkozó információ</w:t>
      </w:r>
    </w:p>
    <w:p w14:paraId="1B86B3F1" w14:textId="77777777" w:rsidR="0084246F" w:rsidRDefault="0084246F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84246F">
        <w:rPr>
          <w:rFonts w:ascii="Times New Roman" w:hAnsi="Times New Roman" w:cs="Times New Roman"/>
          <w:sz w:val="24"/>
          <w:szCs w:val="24"/>
        </w:rPr>
        <w:t>A közbeszerzés európai uniós alapokból finanszírozott projekttel és/vagy programmal</w:t>
      </w:r>
    </w:p>
    <w:p w14:paraId="19B1D52F" w14:textId="77777777" w:rsidR="0084246F" w:rsidRDefault="0084246F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4246F">
        <w:rPr>
          <w:rFonts w:ascii="Times New Roman" w:hAnsi="Times New Roman" w:cs="Times New Roman"/>
          <w:sz w:val="24"/>
          <w:szCs w:val="24"/>
        </w:rPr>
        <w:t>kapcsolatos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Nem</w:t>
      </w:r>
    </w:p>
    <w:p w14:paraId="564C1B21" w14:textId="77777777" w:rsidR="0084246F" w:rsidRDefault="0084246F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99D86" w14:textId="77777777" w:rsidR="0084246F" w:rsidRDefault="0084246F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84246F">
        <w:rPr>
          <w:rFonts w:ascii="Times New Roman" w:hAnsi="Times New Roman" w:cs="Times New Roman"/>
          <w:sz w:val="24"/>
          <w:szCs w:val="24"/>
        </w:rPr>
        <w:t>II.2.1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246F">
        <w:rPr>
          <w:rFonts w:ascii="Times New Roman" w:hAnsi="Times New Roman" w:cs="Times New Roman"/>
          <w:sz w:val="24"/>
          <w:szCs w:val="24"/>
        </w:rPr>
        <w:t>) További információ:</w:t>
      </w:r>
    </w:p>
    <w:p w14:paraId="2BDD0409" w14:textId="77777777" w:rsidR="0084246F" w:rsidRPr="00AE0255" w:rsidRDefault="0084246F" w:rsidP="00E40C0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Felhívás II.2.5):</w:t>
      </w:r>
    </w:p>
    <w:p w14:paraId="555D63E7" w14:textId="76D4C1D1" w:rsidR="00A24E71" w:rsidRPr="00AE0255" w:rsidRDefault="00A24E71" w:rsidP="003257EA">
      <w:pPr>
        <w:spacing w:after="0"/>
        <w:ind w:right="-227"/>
        <w:jc w:val="both"/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</w:pP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Ajánlatkérő az ajánlatot a</w:t>
      </w:r>
      <w:r w:rsidR="003257EA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„legalacsonyabb ár” értékelési szempont szerint értékeli a Kbt.</w:t>
      </w:r>
      <w:r w:rsidR="00474F11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3257EA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76. § (2) bekezdés a) pontja szerint, figyelemmel a Kbt. 100. § (5) bekezdésére („</w:t>
      </w:r>
      <w:r w:rsidR="003257EA" w:rsidRPr="00AE025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Egy</w:t>
      </w:r>
      <w:r w:rsidR="00474F11" w:rsidRPr="00AE025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 xml:space="preserve"> </w:t>
      </w:r>
      <w:r w:rsidR="003257EA" w:rsidRPr="00AE025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ajánlattevő ajánlattételre történő felhívása esetén a 76. § (5) bekezdése nem alkalmazandó.”)</w:t>
      </w:r>
    </w:p>
    <w:p w14:paraId="5B1C5367" w14:textId="77777777" w:rsidR="00AB4CDF" w:rsidRPr="00AB4CDF" w:rsidRDefault="00AB4CDF" w:rsidP="003257EA">
      <w:pPr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</w:p>
    <w:p w14:paraId="7ACE6C82" w14:textId="77777777" w:rsidR="00197C5B" w:rsidRDefault="0019746D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46D">
        <w:rPr>
          <w:rFonts w:ascii="Times New Roman" w:hAnsi="Times New Roman" w:cs="Times New Roman"/>
          <w:b/>
          <w:bCs/>
          <w:sz w:val="24"/>
          <w:szCs w:val="24"/>
        </w:rPr>
        <w:t>III. szakasz: Jogi, gazdasági, pénzügyi és műszaki információk</w:t>
      </w:r>
    </w:p>
    <w:p w14:paraId="5C259E07" w14:textId="77777777" w:rsidR="0019746D" w:rsidRPr="00E71D96" w:rsidRDefault="0019746D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D96">
        <w:rPr>
          <w:rFonts w:ascii="Times New Roman" w:hAnsi="Times New Roman" w:cs="Times New Roman"/>
          <w:b/>
          <w:bCs/>
          <w:sz w:val="24"/>
          <w:szCs w:val="24"/>
        </w:rPr>
        <w:t>III.1) Részvételi feltételek</w:t>
      </w:r>
    </w:p>
    <w:p w14:paraId="2A2C547A" w14:textId="77777777" w:rsidR="0019746D" w:rsidRPr="00082C38" w:rsidRDefault="0019746D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082C38">
        <w:rPr>
          <w:rFonts w:ascii="Times New Roman" w:hAnsi="Times New Roman" w:cs="Times New Roman"/>
          <w:sz w:val="24"/>
          <w:szCs w:val="24"/>
        </w:rPr>
        <w:t>III.1.1) Kizáró okok és a szakmai tevékenység végzésére vonatkozó alkalmasság</w:t>
      </w:r>
    </w:p>
    <w:p w14:paraId="01B18F4F" w14:textId="77777777" w:rsidR="0019746D" w:rsidRDefault="0019746D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13D38C04" w14:textId="77777777" w:rsidR="0019746D" w:rsidRPr="00082C38" w:rsidRDefault="0019746D" w:rsidP="00197C5B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082C38">
        <w:rPr>
          <w:rFonts w:ascii="Times New Roman" w:hAnsi="Times New Roman" w:cs="Times New Roman"/>
          <w:sz w:val="24"/>
          <w:szCs w:val="24"/>
        </w:rPr>
        <w:t>A kizáró okok felsorolása:</w:t>
      </w:r>
    </w:p>
    <w:p w14:paraId="1A550B90" w14:textId="3AE271E8" w:rsidR="0052238A" w:rsidRPr="00AE0255" w:rsidRDefault="0052238A" w:rsidP="00474F11">
      <w:pPr>
        <w:spacing w:after="0"/>
        <w:ind w:right="-227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Az eljárásban nem lehet ajánlattevő, alvállalkozó és nem vehet részt alkalmasság</w:t>
      </w:r>
      <w:r w:rsidR="00474F11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igazolásában olyan gazdasági szereplő, akivel szemben a Kbt. 62. § (1) – (2) bekezdéseiben</w:t>
      </w:r>
    </w:p>
    <w:p w14:paraId="4BA955EC" w14:textId="77777777" w:rsidR="00AE01A8" w:rsidRPr="00AE0255" w:rsidRDefault="0052238A" w:rsidP="00AE01A8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proofErr w:type="gramStart"/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foglalt</w:t>
      </w:r>
      <w:proofErr w:type="gramEnd"/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kizáró okok bármelyike fennáll.</w:t>
      </w:r>
    </w:p>
    <w:p w14:paraId="3A522AEE" w14:textId="77777777" w:rsidR="0052238A" w:rsidRPr="00AE0255" w:rsidRDefault="0052238A" w:rsidP="00AE01A8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7D45D163" w14:textId="77777777" w:rsidR="00AE01A8" w:rsidRPr="00AE0255" w:rsidRDefault="00AE01A8" w:rsidP="00AE01A8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Öntisztázás: Ajánlatkérő felhívja a figyelmet a Kbt. 64. § (1)-(2) bekezdéseiben szabályozott</w:t>
      </w:r>
    </w:p>
    <w:p w14:paraId="7A7EB680" w14:textId="77777777" w:rsidR="00AE01A8" w:rsidRPr="00AE0255" w:rsidRDefault="00AE01A8" w:rsidP="00AE01A8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proofErr w:type="gramStart"/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öntisztázás</w:t>
      </w:r>
      <w:proofErr w:type="gramEnd"/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lehetőségér</w:t>
      </w:r>
      <w:r w:rsidR="00556A72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e.</w:t>
      </w:r>
    </w:p>
    <w:p w14:paraId="6A2C504C" w14:textId="77777777" w:rsidR="00556A72" w:rsidRDefault="00556A72" w:rsidP="00AE01A8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160EE" w14:textId="77777777" w:rsidR="00556A72" w:rsidRPr="00082C38" w:rsidRDefault="00556A72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082C38">
        <w:rPr>
          <w:rFonts w:ascii="Times New Roman" w:hAnsi="Times New Roman" w:cs="Times New Roman"/>
          <w:sz w:val="24"/>
          <w:szCs w:val="24"/>
        </w:rPr>
        <w:t>Az igazolási módok felsorolása és rövid leírása:</w:t>
      </w:r>
    </w:p>
    <w:p w14:paraId="45235B84" w14:textId="77777777" w:rsidR="00082C38" w:rsidRDefault="00082C38" w:rsidP="00474F11">
      <w:pPr>
        <w:spacing w:after="0"/>
        <w:ind w:right="-227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39E8CEBD" w14:textId="604B55B1" w:rsidR="00556A72" w:rsidRPr="00AE0255" w:rsidRDefault="00556A72" w:rsidP="00474F11">
      <w:pPr>
        <w:spacing w:after="0"/>
        <w:ind w:right="-227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A kizáró okok fenn nem állását a gazdasági szereplőknek a 321/2015. (X.30.) Korm.</w:t>
      </w:r>
      <w:r w:rsidR="00474F11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rendelet 8. §, 10. § 12–14. § és 16. § rendelkezései szerint kell igazolnia.</w:t>
      </w:r>
    </w:p>
    <w:p w14:paraId="33500B91" w14:textId="77777777" w:rsidR="00F621EF" w:rsidRPr="00AE0255" w:rsidRDefault="00F621EF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2E471025" w14:textId="4D8F7C2A" w:rsidR="00556A72" w:rsidRPr="00AE0255" w:rsidRDefault="00556A72" w:rsidP="00474F11">
      <w:pPr>
        <w:spacing w:after="0"/>
        <w:ind w:right="-227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A Kbt. 100. § (5) bekezdése alapján a Kbt.</w:t>
      </w:r>
      <w:r w:rsidR="00F621EF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69. §</w:t>
      </w:r>
      <w:proofErr w:type="spellStart"/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-tól</w:t>
      </w:r>
      <w:proofErr w:type="spellEnd"/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eltérően már az ajánlat benyújtásakor</w:t>
      </w:r>
      <w:r w:rsidR="00474F11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be kell nyújtani a kizáró okok</w:t>
      </w:r>
      <w:r w:rsidR="00F621EF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hiányára vonatkozó igazolásokat.</w:t>
      </w:r>
    </w:p>
    <w:p w14:paraId="774330A2" w14:textId="77777777" w:rsidR="00F621EF" w:rsidRPr="00AE0255" w:rsidRDefault="00F621EF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7AAE9D99" w14:textId="0EDE1C79" w:rsidR="00556A72" w:rsidRPr="00AE0255" w:rsidRDefault="00556A72" w:rsidP="00474F11">
      <w:pPr>
        <w:spacing w:after="0"/>
        <w:ind w:right="-227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A Kbt. 67. § (4) bekezdése alapján az ajánlattevőnek az alvállalkozók tekintetében</w:t>
      </w:r>
      <w:r w:rsidR="00474F11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nyilatkoznia kell, hogy a szerződés teljesítéséhez nem vesz igénybe a Kbt. 62. § (1)–(2)</w:t>
      </w:r>
      <w:r w:rsidR="00474F11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bekezdése szerinti kizáró okok hatálya alá eső alvállalkozót. A nyilatkozat alvállalkozói</w:t>
      </w:r>
      <w:r w:rsidR="00474F11"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bevonás hiányában is benyújtandó.</w:t>
      </w:r>
    </w:p>
    <w:p w14:paraId="17E0F477" w14:textId="77777777" w:rsidR="00F621EF" w:rsidRPr="00AE0255" w:rsidRDefault="00F621EF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2C0F32B4" w14:textId="77777777" w:rsidR="005B10E3" w:rsidRPr="00AE0255" w:rsidRDefault="005B10E3" w:rsidP="005B10E3">
      <w:pPr>
        <w:tabs>
          <w:tab w:val="left" w:pos="426"/>
        </w:tabs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AE0255">
        <w:rPr>
          <w:rFonts w:ascii="Times New Roman" w:hAnsi="Times New Roman"/>
          <w:b/>
          <w:color w:val="00B0F0"/>
          <w:sz w:val="24"/>
          <w:szCs w:val="24"/>
        </w:rPr>
        <w:t>A kizáró okokra és az alkalmassági követelményekre vonatkozóan a közbeszerzés megkezdését megelőzően kiállított igazolások is benyújthatóak (felhasználhatóak) mindaddig, ameddig az igazolásokban foglalt tény, illetve adat tartalma valós.</w:t>
      </w:r>
    </w:p>
    <w:p w14:paraId="5E18E314" w14:textId="77777777" w:rsidR="005B10E3" w:rsidRPr="00AE0255" w:rsidRDefault="005B10E3" w:rsidP="005B10E3">
      <w:pPr>
        <w:tabs>
          <w:tab w:val="left" w:pos="426"/>
        </w:tabs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AE0255">
        <w:rPr>
          <w:rFonts w:ascii="Times New Roman" w:hAnsi="Times New Roman"/>
          <w:b/>
          <w:color w:val="00B0F0"/>
          <w:sz w:val="24"/>
          <w:szCs w:val="24"/>
        </w:rPr>
        <w:lastRenderedPageBreak/>
        <w:t>Ajánlatkérő kizárja az eljárásból azon ajánlattevőt, akivel szemben a kizáró okok az eljárás során következnek be.</w:t>
      </w:r>
    </w:p>
    <w:p w14:paraId="7BCC5F3D" w14:textId="77777777" w:rsidR="005B10E3" w:rsidRPr="00AE0255" w:rsidRDefault="005B10E3" w:rsidP="005B10E3">
      <w:pPr>
        <w:tabs>
          <w:tab w:val="left" w:pos="426"/>
        </w:tabs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AE0255">
        <w:rPr>
          <w:rFonts w:ascii="Times New Roman" w:hAnsi="Times New Roman"/>
          <w:b/>
          <w:color w:val="00B0F0"/>
          <w:sz w:val="24"/>
          <w:szCs w:val="24"/>
        </w:rPr>
        <w:t>Ajánlatkérő felhívja a figyelmet a Kbt. 64. §</w:t>
      </w:r>
      <w:proofErr w:type="spellStart"/>
      <w:r w:rsidRPr="00AE0255">
        <w:rPr>
          <w:rFonts w:ascii="Times New Roman" w:hAnsi="Times New Roman"/>
          <w:b/>
          <w:color w:val="00B0F0"/>
          <w:sz w:val="24"/>
          <w:szCs w:val="24"/>
        </w:rPr>
        <w:t>-ára</w:t>
      </w:r>
      <w:proofErr w:type="spellEnd"/>
      <w:r w:rsidRPr="00AE0255">
        <w:rPr>
          <w:rFonts w:ascii="Times New Roman" w:hAnsi="Times New Roman"/>
          <w:b/>
          <w:color w:val="00B0F0"/>
          <w:sz w:val="24"/>
          <w:szCs w:val="24"/>
        </w:rPr>
        <w:t>.</w:t>
      </w:r>
    </w:p>
    <w:p w14:paraId="6A6E935B" w14:textId="77777777" w:rsidR="005B10E3" w:rsidRPr="00AE0255" w:rsidRDefault="005B10E3" w:rsidP="005B10E3">
      <w:pPr>
        <w:tabs>
          <w:tab w:val="left" w:pos="426"/>
        </w:tabs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AE0255">
        <w:rPr>
          <w:rFonts w:ascii="Times New Roman" w:hAnsi="Times New Roman"/>
          <w:b/>
          <w:color w:val="00B0F0"/>
          <w:sz w:val="24"/>
          <w:szCs w:val="24"/>
        </w:rPr>
        <w:t>Ajánlatkérő felhívja a figyelmet a Kbt. 65. § (6)-(12) bekezdésekre.</w:t>
      </w:r>
    </w:p>
    <w:p w14:paraId="2F17EEFD" w14:textId="77777777" w:rsidR="005B10E3" w:rsidRPr="00AE0255" w:rsidRDefault="005B10E3" w:rsidP="005B10E3">
      <w:pPr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AE0255">
        <w:rPr>
          <w:rFonts w:ascii="Times New Roman" w:hAnsi="Times New Roman"/>
          <w:b/>
          <w:color w:val="00B0F0"/>
          <w:sz w:val="24"/>
          <w:szCs w:val="24"/>
        </w:rPr>
        <w:t>Ajánlatkérő felhívja a figyelmet a Kbt. 69. § (11a) bekezdésére.</w:t>
      </w:r>
    </w:p>
    <w:p w14:paraId="1241B38C" w14:textId="77777777" w:rsidR="00E00ABD" w:rsidRDefault="00E00ABD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0BD19" w14:textId="0A70538B" w:rsidR="00E40C0F" w:rsidRPr="00E00ABD" w:rsidRDefault="00C76529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E00ABD">
        <w:rPr>
          <w:rFonts w:ascii="Times New Roman" w:hAnsi="Times New Roman" w:cs="Times New Roman"/>
          <w:sz w:val="24"/>
          <w:szCs w:val="24"/>
        </w:rPr>
        <w:t>III.1.2) Gazdasági és pénzügyi alkalmasság</w:t>
      </w:r>
    </w:p>
    <w:p w14:paraId="04436A16" w14:textId="77777777" w:rsidR="00C76529" w:rsidRPr="00AE0255" w:rsidRDefault="00C76529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2949872A" w14:textId="77777777" w:rsidR="00C76529" w:rsidRPr="00AE0255" w:rsidRDefault="00C76529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AE0255">
        <w:rPr>
          <w:rFonts w:ascii="Times New Roman" w:hAnsi="Times New Roman" w:cs="Times New Roman"/>
          <w:b/>
          <w:bCs/>
          <w:color w:val="00B0F0"/>
          <w:sz w:val="24"/>
          <w:szCs w:val="24"/>
        </w:rPr>
        <w:t>Ajánlatkérő nem ír elő gazdasági és pénzügyi alkalmassági követelményt.</w:t>
      </w:r>
    </w:p>
    <w:p w14:paraId="04D32071" w14:textId="77777777" w:rsidR="005A6EB1" w:rsidRDefault="005A6EB1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03BC9" w14:textId="77777777" w:rsidR="005A6EB1" w:rsidRPr="00082C38" w:rsidRDefault="005A6EB1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082C38">
        <w:rPr>
          <w:rFonts w:ascii="Times New Roman" w:hAnsi="Times New Roman" w:cs="Times New Roman"/>
          <w:sz w:val="24"/>
          <w:szCs w:val="24"/>
        </w:rPr>
        <w:t>III.1.3) Műszaki, illetve szakmai alkalmasság</w:t>
      </w:r>
    </w:p>
    <w:p w14:paraId="6252525A" w14:textId="77777777" w:rsidR="005A6EB1" w:rsidRPr="00082C38" w:rsidRDefault="005A6EB1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0B2E39B7" w14:textId="77777777" w:rsidR="005A6EB1" w:rsidRPr="00082C38" w:rsidRDefault="005A6EB1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>Ajánlatkérő a Kbt. 65. § (2) bekezdése alapján (hirdetmény nélküli tárgyalásos eljárás</w:t>
      </w:r>
    </w:p>
    <w:p w14:paraId="0768CDFE" w14:textId="77777777" w:rsidR="001A6333" w:rsidRPr="00082C38" w:rsidRDefault="005A6EB1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proofErr w:type="gramStart"/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>jogalapja</w:t>
      </w:r>
      <w:proofErr w:type="gramEnd"/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szerint csak meghatározott gazdasági szereplő hívható fel ajánlattételre) nem ír</w:t>
      </w:r>
    </w:p>
    <w:p w14:paraId="5AB338B4" w14:textId="77777777" w:rsidR="005A6EB1" w:rsidRPr="00082C38" w:rsidRDefault="005A6EB1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proofErr w:type="gramStart"/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>elő</w:t>
      </w:r>
      <w:proofErr w:type="gramEnd"/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műszaki, illetve szakmai alkalmassági követelményt.</w:t>
      </w:r>
    </w:p>
    <w:p w14:paraId="28932A68" w14:textId="77777777" w:rsidR="001A6333" w:rsidRDefault="001A6333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EA987" w14:textId="77777777" w:rsidR="001A6333" w:rsidRPr="00082C38" w:rsidRDefault="001A6333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082C38">
        <w:rPr>
          <w:rFonts w:ascii="Times New Roman" w:hAnsi="Times New Roman" w:cs="Times New Roman"/>
          <w:sz w:val="24"/>
          <w:szCs w:val="24"/>
        </w:rPr>
        <w:t>III.1.4) A szerződés biztosítékai:</w:t>
      </w:r>
    </w:p>
    <w:p w14:paraId="034A8068" w14:textId="77777777" w:rsidR="001A6333" w:rsidRDefault="001A6333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D43F7" w14:textId="65B9047B" w:rsidR="004523EB" w:rsidRPr="00A300F2" w:rsidRDefault="004523EB" w:rsidP="0045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A300F2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A szerződés a </w:t>
      </w:r>
      <w:r w:rsidR="00DE22A1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GET</w:t>
      </w:r>
      <w:r w:rsidRPr="00A300F2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rendelkezése </w:t>
      </w:r>
      <w:r w:rsidRPr="00A300F2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alapján nyertes ajánlattevő üzletszabályzata szerint jön létre.</w:t>
      </w:r>
    </w:p>
    <w:p w14:paraId="60BCDA41" w14:textId="77777777" w:rsidR="00C915B8" w:rsidRDefault="00C915B8" w:rsidP="00C915B8">
      <w:pPr>
        <w:spacing w:after="0"/>
        <w:ind w:right="-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EF58A" w14:textId="77777777" w:rsidR="001A6333" w:rsidRPr="00082C38" w:rsidRDefault="001A6333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082C38">
        <w:rPr>
          <w:rFonts w:ascii="Times New Roman" w:hAnsi="Times New Roman" w:cs="Times New Roman"/>
          <w:sz w:val="24"/>
          <w:szCs w:val="24"/>
        </w:rPr>
        <w:t>III.1.5) Az ellenszolgáltatás teljesítésének feltételei és / vagy hivatkozás a vonatkozó</w:t>
      </w:r>
    </w:p>
    <w:p w14:paraId="2E7E703F" w14:textId="77777777" w:rsidR="00BF6A56" w:rsidRPr="00082C38" w:rsidRDefault="001A6333" w:rsidP="00BD58EE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C38">
        <w:rPr>
          <w:rFonts w:ascii="Times New Roman" w:hAnsi="Times New Roman" w:cs="Times New Roman"/>
          <w:sz w:val="24"/>
          <w:szCs w:val="24"/>
        </w:rPr>
        <w:t>jogszabályi</w:t>
      </w:r>
      <w:proofErr w:type="gramEnd"/>
      <w:r w:rsidRPr="00082C38">
        <w:rPr>
          <w:rFonts w:ascii="Times New Roman" w:hAnsi="Times New Roman" w:cs="Times New Roman"/>
          <w:sz w:val="24"/>
          <w:szCs w:val="24"/>
        </w:rPr>
        <w:t xml:space="preserve"> rendelkezésekre:</w:t>
      </w:r>
    </w:p>
    <w:p w14:paraId="43A4F4CE" w14:textId="77777777" w:rsidR="00BD58EE" w:rsidRDefault="00BD58EE" w:rsidP="00BD58EE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8B136" w14:textId="10EFBA33" w:rsidR="00B518B6" w:rsidRPr="00082C38" w:rsidRDefault="0045271F" w:rsidP="000F4D8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u-HU"/>
        </w:rPr>
      </w:pPr>
      <w:r w:rsidRPr="00082C38">
        <w:rPr>
          <w:rFonts w:ascii="Times New Roman" w:hAnsi="Times New Roman"/>
          <w:b/>
          <w:bCs/>
          <w:color w:val="00B0F0"/>
          <w:sz w:val="24"/>
          <w:szCs w:val="24"/>
        </w:rPr>
        <w:t xml:space="preserve">Ajánlatkérő az esedékes kötelezettségét havonta, a ténylegesen teljesített </w:t>
      </w:r>
      <w:r w:rsidR="00B223AC" w:rsidRPr="00082C38">
        <w:rPr>
          <w:rFonts w:ascii="Times New Roman" w:hAnsi="Times New Roman"/>
          <w:b/>
          <w:bCs/>
          <w:color w:val="00B0F0"/>
          <w:sz w:val="24"/>
          <w:szCs w:val="24"/>
        </w:rPr>
        <w:t xml:space="preserve">és igazolt </w:t>
      </w:r>
      <w:r w:rsidRPr="00082C38">
        <w:rPr>
          <w:rFonts w:ascii="Times New Roman" w:hAnsi="Times New Roman"/>
          <w:b/>
          <w:bCs/>
          <w:color w:val="00B0F0"/>
          <w:sz w:val="24"/>
          <w:szCs w:val="24"/>
        </w:rPr>
        <w:t xml:space="preserve">mennyiségeknek megfelelően nyertes ajánlattevő által benyújtott számla kézhezvételétől számított 30 napon belül átutalással teljesíti. </w:t>
      </w:r>
      <w:r w:rsidRPr="00082C38" w:rsidDel="0045271F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  <w:r w:rsidR="004F0E9C" w:rsidRPr="0008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u-HU"/>
        </w:rPr>
        <w:t xml:space="preserve">Irányadó a </w:t>
      </w:r>
      <w:r w:rsidR="00AB4CDF" w:rsidRPr="0008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u-HU"/>
        </w:rPr>
        <w:t xml:space="preserve">Kbt. 135. (1), (5)-(6), </w:t>
      </w:r>
      <w:r w:rsidR="004F0E9C" w:rsidRPr="0008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u-HU"/>
        </w:rPr>
        <w:t xml:space="preserve">Ptk. </w:t>
      </w:r>
      <w:r w:rsidR="00F11600" w:rsidRPr="0008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u-HU"/>
        </w:rPr>
        <w:t xml:space="preserve">6:130. § (1)-(2) és </w:t>
      </w:r>
      <w:r w:rsidR="004F0E9C" w:rsidRPr="0008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u-HU"/>
        </w:rPr>
        <w:t>6:155. §</w:t>
      </w:r>
    </w:p>
    <w:p w14:paraId="53836066" w14:textId="77777777" w:rsidR="00B518B6" w:rsidRPr="00082C38" w:rsidRDefault="00B518B6" w:rsidP="00B518B6">
      <w:pPr>
        <w:jc w:val="both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hAnsi="Times New Roman"/>
          <w:b/>
          <w:bCs/>
          <w:color w:val="00B0F0"/>
          <w:sz w:val="24"/>
          <w:szCs w:val="24"/>
        </w:rPr>
        <w:t>Ajánlatkér</w:t>
      </w:r>
      <w:r w:rsidRPr="00082C38">
        <w:rPr>
          <w:rFonts w:ascii="Times New Roman" w:hAnsi="Times New Roman" w:hint="eastAsia"/>
          <w:b/>
          <w:bCs/>
          <w:color w:val="00B0F0"/>
          <w:sz w:val="24"/>
          <w:szCs w:val="24"/>
        </w:rPr>
        <w:t>ő</w:t>
      </w:r>
      <w:r w:rsidRPr="00082C38">
        <w:rPr>
          <w:rFonts w:ascii="Times New Roman" w:hAnsi="Times New Roman"/>
          <w:b/>
          <w:bCs/>
          <w:color w:val="00B0F0"/>
          <w:sz w:val="24"/>
          <w:szCs w:val="24"/>
        </w:rPr>
        <w:t xml:space="preserve"> felhívja a figyelmet a Kbt. 27/A. §</w:t>
      </w:r>
      <w:proofErr w:type="spellStart"/>
      <w:r w:rsidRPr="00082C38">
        <w:rPr>
          <w:rFonts w:ascii="Times New Roman" w:hAnsi="Times New Roman"/>
          <w:b/>
          <w:bCs/>
          <w:color w:val="00B0F0"/>
          <w:sz w:val="24"/>
          <w:szCs w:val="24"/>
        </w:rPr>
        <w:t>-ra</w:t>
      </w:r>
      <w:proofErr w:type="spellEnd"/>
      <w:r w:rsidRPr="00082C38">
        <w:rPr>
          <w:rFonts w:ascii="Times New Roman" w:hAnsi="Times New Roman"/>
          <w:b/>
          <w:bCs/>
          <w:color w:val="00B0F0"/>
          <w:sz w:val="24"/>
          <w:szCs w:val="24"/>
        </w:rPr>
        <w:t>.</w:t>
      </w:r>
    </w:p>
    <w:p w14:paraId="72160597" w14:textId="77777777" w:rsidR="00B518B6" w:rsidRPr="00082C38" w:rsidRDefault="00B518B6" w:rsidP="00B518B6">
      <w:pPr>
        <w:jc w:val="both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hAnsi="Times New Roman"/>
          <w:b/>
          <w:bCs/>
          <w:color w:val="00B0F0"/>
          <w:sz w:val="24"/>
          <w:szCs w:val="24"/>
        </w:rPr>
        <w:t>Ajánlatkérő előleget nem biztosít.</w:t>
      </w:r>
    </w:p>
    <w:p w14:paraId="31C1EBB9" w14:textId="4BBD6054" w:rsidR="000F4D83" w:rsidRPr="004107B8" w:rsidRDefault="00B518B6" w:rsidP="004107B8">
      <w:pPr>
        <w:jc w:val="both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hAnsi="Times New Roman"/>
          <w:b/>
          <w:bCs/>
          <w:color w:val="00B0F0"/>
          <w:sz w:val="24"/>
          <w:szCs w:val="24"/>
        </w:rPr>
        <w:t xml:space="preserve">Az elszámolás és kifizetés pénzneme: </w:t>
      </w:r>
      <w:r w:rsidR="00FE3730" w:rsidRPr="00082C38">
        <w:rPr>
          <w:rFonts w:ascii="Times New Roman" w:hAnsi="Times New Roman"/>
          <w:b/>
          <w:bCs/>
          <w:color w:val="00B0F0"/>
          <w:sz w:val="24"/>
          <w:szCs w:val="24"/>
        </w:rPr>
        <w:t>HUF</w:t>
      </w:r>
    </w:p>
    <w:p w14:paraId="777CD80B" w14:textId="77777777" w:rsidR="00BF6A56" w:rsidRDefault="00BF6A56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A56">
        <w:rPr>
          <w:rFonts w:ascii="Times New Roman" w:hAnsi="Times New Roman" w:cs="Times New Roman"/>
          <w:b/>
          <w:bCs/>
          <w:sz w:val="24"/>
          <w:szCs w:val="24"/>
        </w:rPr>
        <w:t>IV. szakasz: Eljárás</w:t>
      </w:r>
    </w:p>
    <w:p w14:paraId="0B7914E9" w14:textId="77777777" w:rsidR="00BF6A56" w:rsidRPr="00E71D96" w:rsidRDefault="00BF6A56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D96">
        <w:rPr>
          <w:rFonts w:ascii="Times New Roman" w:hAnsi="Times New Roman" w:cs="Times New Roman"/>
          <w:b/>
          <w:bCs/>
          <w:sz w:val="24"/>
          <w:szCs w:val="24"/>
        </w:rPr>
        <w:t>IV.1) Meghatározás</w:t>
      </w:r>
    </w:p>
    <w:p w14:paraId="3F23EC50" w14:textId="77777777" w:rsidR="00A90BBA" w:rsidRPr="00A90BBA" w:rsidRDefault="00A90BBA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90BBA">
        <w:rPr>
          <w:rFonts w:ascii="Times New Roman" w:hAnsi="Times New Roman" w:cs="Times New Roman"/>
          <w:sz w:val="24"/>
          <w:szCs w:val="24"/>
        </w:rPr>
        <w:t>IV.1.1) Az eljárás fajtája</w:t>
      </w:r>
    </w:p>
    <w:p w14:paraId="602D7F58" w14:textId="77777777" w:rsidR="00A90BBA" w:rsidRDefault="00A90BBA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476">
        <w:rPr>
          <w:rFonts w:ascii="Times New Roman" w:hAnsi="Times New Roman" w:cs="Times New Roman"/>
          <w:sz w:val="24"/>
          <w:szCs w:val="24"/>
        </w:rPr>
        <w:t>Tárgyalásos eljárás: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>Igen</w:t>
      </w:r>
    </w:p>
    <w:p w14:paraId="4C7B3B58" w14:textId="2F80B41A" w:rsidR="00A90BBA" w:rsidRDefault="00A90BBA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079C9" w14:textId="77777777" w:rsidR="00A90BBA" w:rsidRDefault="00A90BBA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90BBA">
        <w:rPr>
          <w:rFonts w:ascii="Times New Roman" w:hAnsi="Times New Roman" w:cs="Times New Roman"/>
          <w:sz w:val="24"/>
          <w:szCs w:val="24"/>
        </w:rPr>
        <w:t xml:space="preserve">IV.1.2) </w:t>
      </w:r>
      <w:proofErr w:type="spellStart"/>
      <w:r w:rsidRPr="00A90BBA">
        <w:rPr>
          <w:rFonts w:ascii="Times New Roman" w:hAnsi="Times New Roman" w:cs="Times New Roman"/>
          <w:sz w:val="24"/>
          <w:szCs w:val="24"/>
        </w:rPr>
        <w:t>Keretmegállapodásra</w:t>
      </w:r>
      <w:proofErr w:type="spellEnd"/>
      <w:r w:rsidRPr="00A90BBA">
        <w:rPr>
          <w:rFonts w:ascii="Times New Roman" w:hAnsi="Times New Roman" w:cs="Times New Roman"/>
          <w:sz w:val="24"/>
          <w:szCs w:val="24"/>
        </w:rPr>
        <w:t xml:space="preserve"> vonatkozó információk</w:t>
      </w:r>
    </w:p>
    <w:p w14:paraId="5D6CCD30" w14:textId="77777777" w:rsidR="00A90BBA" w:rsidRDefault="00A90BBA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BBA">
        <w:rPr>
          <w:rFonts w:ascii="Times New Roman" w:hAnsi="Times New Roman" w:cs="Times New Roman"/>
          <w:sz w:val="24"/>
          <w:szCs w:val="24"/>
        </w:rPr>
        <w:t xml:space="preserve">A hirdetmény </w:t>
      </w:r>
      <w:proofErr w:type="spellStart"/>
      <w:r w:rsidRPr="00A90BBA">
        <w:rPr>
          <w:rFonts w:ascii="Times New Roman" w:hAnsi="Times New Roman" w:cs="Times New Roman"/>
          <w:sz w:val="24"/>
          <w:szCs w:val="24"/>
        </w:rPr>
        <w:t>keretmegállapodás</w:t>
      </w:r>
      <w:proofErr w:type="spellEnd"/>
      <w:r w:rsidRPr="00A90BBA">
        <w:rPr>
          <w:rFonts w:ascii="Times New Roman" w:hAnsi="Times New Roman" w:cs="Times New Roman"/>
          <w:sz w:val="24"/>
          <w:szCs w:val="24"/>
        </w:rPr>
        <w:t xml:space="preserve"> megkötésére irányul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>Nem</w:t>
      </w:r>
    </w:p>
    <w:p w14:paraId="32089AFB" w14:textId="77777777" w:rsidR="00331476" w:rsidRDefault="00331476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0F2E6248" w14:textId="77777777" w:rsidR="00331476" w:rsidRDefault="00331476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1476">
        <w:rPr>
          <w:rFonts w:ascii="Times New Roman" w:hAnsi="Times New Roman" w:cs="Times New Roman"/>
          <w:sz w:val="24"/>
          <w:szCs w:val="24"/>
        </w:rPr>
        <w:t>IV.1.3) Elektronikus árlejtésre vonatkozó információk</w:t>
      </w:r>
    </w:p>
    <w:p w14:paraId="017D287F" w14:textId="77777777" w:rsidR="00331476" w:rsidRDefault="00331476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476">
        <w:rPr>
          <w:rFonts w:ascii="Times New Roman" w:hAnsi="Times New Roman" w:cs="Times New Roman"/>
          <w:sz w:val="24"/>
          <w:szCs w:val="24"/>
        </w:rPr>
        <w:t>Elektronikus árlejtést fognak alkalmazni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>Nem</w:t>
      </w:r>
    </w:p>
    <w:p w14:paraId="3987366D" w14:textId="77777777" w:rsidR="00331476" w:rsidRDefault="00331476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FC679" w14:textId="77777777" w:rsidR="00331476" w:rsidRPr="00E71D96" w:rsidRDefault="00331476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D96">
        <w:rPr>
          <w:rFonts w:ascii="Times New Roman" w:hAnsi="Times New Roman" w:cs="Times New Roman"/>
          <w:b/>
          <w:bCs/>
          <w:sz w:val="24"/>
          <w:szCs w:val="24"/>
        </w:rPr>
        <w:t>IV.2) Tárgyalásra vonatkozó információk</w:t>
      </w:r>
    </w:p>
    <w:p w14:paraId="10ADCADB" w14:textId="77777777" w:rsidR="00331476" w:rsidRDefault="00331476" w:rsidP="00F621EF">
      <w:pPr>
        <w:spacing w:after="0"/>
        <w:ind w:left="708" w:right="-227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1476">
        <w:rPr>
          <w:rFonts w:ascii="Times New Roman" w:hAnsi="Times New Roman" w:cs="Times New Roman"/>
          <w:sz w:val="24"/>
          <w:szCs w:val="24"/>
        </w:rPr>
        <w:lastRenderedPageBreak/>
        <w:t>IV.2.1) A tárgyalásos eljárás jogcíme:</w:t>
      </w:r>
    </w:p>
    <w:p w14:paraId="764BDE31" w14:textId="77777777" w:rsidR="00920CCA" w:rsidRDefault="00920CCA" w:rsidP="00331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7E533" w14:textId="35585FA3" w:rsidR="00331476" w:rsidRDefault="007474C6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>Jelen</w:t>
      </w:r>
      <w:r w:rsidR="00920CCA"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eljárás </w:t>
      </w:r>
      <w:r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jogalapja: </w:t>
      </w:r>
      <w:r w:rsidR="00920CCA"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>a</w:t>
      </w:r>
      <w:r w:rsidR="00331476"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közbeszerzésekről szóló 2015. évi CXLIII. törvény (Kbt.</w:t>
      </w:r>
      <w:r w:rsidR="00920CCA"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>)</w:t>
      </w:r>
      <w:r w:rsidR="00331476"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98. § (2) bekezdés </w:t>
      </w:r>
      <w:r w:rsidR="00B223AC"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>c</w:t>
      </w:r>
      <w:r w:rsidR="00331476"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) pontja: </w:t>
      </w:r>
      <w:r w:rsidR="00B223AC" w:rsidRPr="007D40A5">
        <w:rPr>
          <w:rFonts w:ascii="Times New Roman" w:hAnsi="Times New Roman" w:cs="Times New Roman"/>
          <w:b/>
          <w:bCs/>
          <w:color w:val="00B0F0"/>
          <w:sz w:val="24"/>
          <w:szCs w:val="24"/>
        </w:rPr>
        <w:t>a szerződés műszaki-technikai sajátosságok vagy kizárólagos jogok védelme miatt kizárólag egy meghatározott gazdasági szereplővel köthető meg, feltéve, hogy az ajánlatkérő számára nem létezik reális alternatíva beszerzési igényének kielégítésére, és a verseny hiánya nem annak a következménye, hogy a közbeszerzés tárgyát a versenyt indokolatlanul szűkítő módon határozták meg.</w:t>
      </w:r>
    </w:p>
    <w:p w14:paraId="1A59BBF8" w14:textId="48D4B865" w:rsidR="007D40A5" w:rsidRDefault="007D40A5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23B2C52C" w14:textId="47B5B3FE" w:rsidR="00971B49" w:rsidRDefault="00971B49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71B49">
        <w:rPr>
          <w:rFonts w:ascii="Times New Roman" w:hAnsi="Times New Roman" w:cs="Times New Roman"/>
          <w:b/>
          <w:bCs/>
          <w:color w:val="00B0F0"/>
          <w:sz w:val="24"/>
          <w:szCs w:val="24"/>
        </w:rPr>
        <w:t>Ajánlatkérő beszerzési igénye földgáz beszerzés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ére irányul</w:t>
      </w:r>
      <w:r w:rsidRPr="00971B4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egyetemes szolgáltatás keretében. A földgázellátásról szóló 2008. évi XL. törvény (GET) 32. § (1) bekezdése szerint egyetemes szolgáltatást a működési engedélyben meghatározott szolgáltatási területen az egyetemes szolgáltatói engedélyes végezhet. Az egyetemes szolgáltató olyan földgázkereskedő, amely az egyetemes szolgáltatásra jogosult felhasználókat – igényük esetén – egyetemes szolgáltatással látja el. Egyetemes szolgáltatásra jogosult felhasználó a lakossági fogyasztó és a 20 m3/óra kapacitást meg nem haladó vásárolt kapacitással rendelkező egyéb felhasználó, valamint az önkormányzati bérlakásban élők felhasználási helyei ellátása biztosításának mértékéig a helyi önkormányzat.</w:t>
      </w:r>
    </w:p>
    <w:p w14:paraId="3D1302F1" w14:textId="1D64B6B6" w:rsidR="00971B49" w:rsidRDefault="00971B49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3BC231D2" w14:textId="490C6B1C" w:rsidR="00971B49" w:rsidRDefault="00971B49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71B4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Ajánlatkérő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a Műszaki Leírásban megjelölt felhasználási helyek tekintetében a</w:t>
      </w:r>
      <w:r w:rsidRPr="00971B4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20 m3/óra kapacitást meg nem haladó egyéb felhasználóként jogosult egyetemes szolgáltatás igénybevételére tekintettel arra, hogy az egyetemes szolgáltatással érintett valamennyi felhasználási hely 20 m3/óra vásárolt kapacitást meg nem haladó mértékű.</w:t>
      </w:r>
    </w:p>
    <w:p w14:paraId="59B8B80E" w14:textId="4B246024" w:rsidR="00971B49" w:rsidRDefault="00971B49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4D8923B6" w14:textId="60C958BD" w:rsidR="00D77C01" w:rsidRDefault="00D77C01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A</w:t>
      </w:r>
      <w:r w:rsidRPr="00D77C01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beszerzéssel érintett területen a közbeszerzési eljárás megindításakor csak egyetlen, a GET szerinti egyetemes szolgáltatóval lehet szerződést kötni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, az ajánlattételre felhívott gazdasági szereplővel.</w:t>
      </w:r>
      <w:r w:rsidRPr="00D77C01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A</w:t>
      </w:r>
      <w:r w:rsidRPr="00D77C01">
        <w:rPr>
          <w:rFonts w:ascii="Times New Roman" w:hAnsi="Times New Roman" w:cs="Times New Roman"/>
          <w:b/>
          <w:bCs/>
          <w:color w:val="00B0F0"/>
          <w:sz w:val="24"/>
          <w:szCs w:val="24"/>
        </w:rPr>
        <w:t>z Ajánlatkérő a GET 3. § 8. pontja szerinti egyetemes szolgáltatásra a GET 32. § (1) bekezdése alapján jogosult, és az arra irányuló beszerzési igényét kizárólag az ajánlattételre felhívott gazdasági szereplőtől tudja kielégíteni.</w:t>
      </w:r>
    </w:p>
    <w:p w14:paraId="2C40CB64" w14:textId="4CC77B2B" w:rsidR="00D77C01" w:rsidRDefault="00D77C01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2974E83B" w14:textId="1C38B7CC" w:rsidR="00F70B1F" w:rsidRDefault="00F70B1F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A tárgyi</w:t>
      </w:r>
      <w:r w:rsidRPr="00F70B1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egyetemes szolgáltatás keretében más ajánlattevőtől egyáltalán nem lehetséges 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egyetemes szolgáltatás keretében</w:t>
      </w:r>
      <w:r w:rsidRPr="00F70B1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földgáz beszerzése. </w:t>
      </w:r>
    </w:p>
    <w:p w14:paraId="46EFCFCC" w14:textId="790391E8" w:rsidR="00F70B1F" w:rsidRDefault="00F70B1F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19017874" w14:textId="3BEE7A38" w:rsidR="00F70B1F" w:rsidRDefault="00F70B1F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F70B1F">
        <w:rPr>
          <w:rFonts w:ascii="Times New Roman" w:hAnsi="Times New Roman" w:cs="Times New Roman"/>
          <w:b/>
          <w:bCs/>
          <w:color w:val="00B0F0"/>
          <w:sz w:val="24"/>
          <w:szCs w:val="24"/>
        </w:rPr>
        <w:t>A fentiekből megállapítható, hogy Ajánlatkérő részére nem létezik más, reális alternatíva beszerzési igényének kielégítésére, valamint a verseny hiánya nem annak következménye, hogy Ajánlatkérő a közbeszerzés tárgyát a versenyt indokolatlanul szűkítő módon határozta meg.</w:t>
      </w:r>
    </w:p>
    <w:p w14:paraId="352C8F8F" w14:textId="77777777" w:rsidR="00AD669C" w:rsidRDefault="00AD669C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C5D1F" w14:textId="65546377" w:rsidR="007474C6" w:rsidRDefault="007474C6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DA">
        <w:rPr>
          <w:rFonts w:ascii="Times New Roman" w:hAnsi="Times New Roman" w:cs="Times New Roman"/>
          <w:sz w:val="24"/>
          <w:szCs w:val="24"/>
        </w:rPr>
        <w:t>IV.2.2) Az első tárgyalás időpontja:</w:t>
      </w:r>
      <w:r w:rsidR="005B7BDA">
        <w:rPr>
          <w:rFonts w:ascii="Times New Roman" w:hAnsi="Times New Roman" w:cs="Times New Roman"/>
          <w:sz w:val="24"/>
          <w:szCs w:val="24"/>
        </w:rPr>
        <w:t xml:space="preserve"> </w:t>
      </w:r>
      <w:r w:rsidR="00F70B1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2022. </w:t>
      </w:r>
      <w:r w:rsidR="00F70B1F" w:rsidRPr="00F70B1F">
        <w:rPr>
          <w:rFonts w:ascii="Times New Roman" w:hAnsi="Times New Roman" w:cs="Times New Roman"/>
          <w:b/>
          <w:bCs/>
          <w:color w:val="00B0F0"/>
          <w:sz w:val="24"/>
          <w:szCs w:val="24"/>
          <w:highlight w:val="yellow"/>
        </w:rPr>
        <w:t>…</w:t>
      </w:r>
    </w:p>
    <w:p w14:paraId="399D29D5" w14:textId="77777777" w:rsidR="007474C6" w:rsidRDefault="007474C6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A935D" w14:textId="33D0A3B0" w:rsidR="007474C6" w:rsidRDefault="007474C6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C6">
        <w:rPr>
          <w:rFonts w:ascii="Times New Roman" w:hAnsi="Times New Roman" w:cs="Times New Roman"/>
          <w:sz w:val="24"/>
          <w:szCs w:val="24"/>
        </w:rPr>
        <w:t>IV.2.3) A tárgyalás lefolytatásának menete és alapvető szabályai:</w:t>
      </w:r>
    </w:p>
    <w:p w14:paraId="539471CD" w14:textId="77777777" w:rsidR="00406B11" w:rsidRDefault="00406B11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4587F" w14:textId="53C8BAD8" w:rsidR="009F3895" w:rsidRPr="00082C38" w:rsidRDefault="009F3895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>Az első tárgyalás időpontja</w:t>
      </w:r>
      <w:proofErr w:type="gramStart"/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: </w:t>
      </w:r>
      <w:r w:rsidR="00561698" w:rsidRPr="00561698">
        <w:rPr>
          <w:rFonts w:ascii="Times New Roman" w:hAnsi="Times New Roman" w:cs="Times New Roman"/>
          <w:b/>
          <w:bCs/>
          <w:color w:val="00B0F0"/>
          <w:sz w:val="24"/>
          <w:szCs w:val="24"/>
          <w:highlight w:val="yellow"/>
        </w:rPr>
        <w:t>…</w:t>
      </w:r>
      <w:proofErr w:type="gramEnd"/>
    </w:p>
    <w:p w14:paraId="660EFF8B" w14:textId="77777777" w:rsidR="009F3895" w:rsidRPr="00082C38" w:rsidRDefault="009F3895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47936231" w14:textId="63618C17" w:rsidR="009815CD" w:rsidRDefault="009815CD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hAnsi="Times New Roman" w:cs="Times New Roman"/>
          <w:b/>
          <w:bCs/>
          <w:color w:val="00B0F0"/>
          <w:sz w:val="24"/>
          <w:szCs w:val="24"/>
        </w:rPr>
        <w:t>Az első tárgyalás helyszíne:</w:t>
      </w:r>
      <w:r w:rsidR="00D47E44" w:rsidRPr="00082C38">
        <w:rPr>
          <w:b/>
          <w:bCs/>
          <w:color w:val="00B0F0"/>
        </w:rPr>
        <w:t xml:space="preserve"> </w:t>
      </w:r>
      <w:r w:rsidR="00E14E94" w:rsidRPr="00E14E94">
        <w:rPr>
          <w:rFonts w:ascii="Times New Roman" w:hAnsi="Times New Roman" w:cs="Times New Roman"/>
          <w:b/>
          <w:bCs/>
          <w:color w:val="00B0F0"/>
          <w:sz w:val="24"/>
          <w:szCs w:val="24"/>
        </w:rPr>
        <w:t>1025 Budapest, Margit krt. 43-45. VI/3.</w:t>
      </w:r>
      <w:r w:rsidR="00E14E94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és/vagy Microsoft </w:t>
      </w:r>
      <w:proofErr w:type="spellStart"/>
      <w:r w:rsidR="00E14E94">
        <w:rPr>
          <w:rFonts w:ascii="Times New Roman" w:hAnsi="Times New Roman" w:cs="Times New Roman"/>
          <w:b/>
          <w:bCs/>
          <w:color w:val="00B0F0"/>
          <w:sz w:val="24"/>
          <w:szCs w:val="24"/>
        </w:rPr>
        <w:t>Teams</w:t>
      </w:r>
      <w:proofErr w:type="spellEnd"/>
      <w:r w:rsidR="00E14E94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(Ajánlatkérő a tárgyalást megelőzően az </w:t>
      </w:r>
      <w:proofErr w:type="spellStart"/>
      <w:r w:rsidR="00E14E94">
        <w:rPr>
          <w:rFonts w:ascii="Times New Roman" w:hAnsi="Times New Roman" w:cs="Times New Roman"/>
          <w:b/>
          <w:bCs/>
          <w:color w:val="00B0F0"/>
          <w:sz w:val="24"/>
          <w:szCs w:val="24"/>
        </w:rPr>
        <w:t>EKR-ben</w:t>
      </w:r>
      <w:proofErr w:type="spellEnd"/>
      <w:r w:rsidR="00E14E94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küldi meg a bejelentkezéshez szükséges linket).</w:t>
      </w:r>
    </w:p>
    <w:p w14:paraId="480E3058" w14:textId="77777777" w:rsidR="00E14E94" w:rsidRPr="00082C38" w:rsidRDefault="00E14E94" w:rsidP="0092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7C2AC0D9" w14:textId="77777777" w:rsidR="00485B52" w:rsidRPr="00082C38" w:rsidRDefault="009815CD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Ajánlatkérő rögzíti, hogy a szerződéses feltételekről kíván tárgyalni az</w:t>
      </w:r>
      <w:r w:rsidR="00485B52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Ajánlattevővel.</w:t>
      </w:r>
    </w:p>
    <w:p w14:paraId="0F3536E0" w14:textId="77777777" w:rsidR="00485B52" w:rsidRPr="00082C38" w:rsidRDefault="00485B5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</w:p>
    <w:p w14:paraId="0786F48A" w14:textId="77777777" w:rsidR="00485B52" w:rsidRPr="00082C38" w:rsidRDefault="009815CD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lastRenderedPageBreak/>
        <w:t xml:space="preserve">A tárgyaláson ajánlattevőt a nevében nyilatkozattételre és kötelezettségvállalásra jogosult személynek, vagy az általa meghatalmazott személynek kell képviselnie. Ajánlatkérő egy alkalommal kíván tárgyalni az ajánlattevővel, azonban fenntartja magának a jogot arra vonatkozólag, hogy amennyiben szükségesnek ítéli további tárgyalásokat tartson. Amennyiben az Ajánlatkérő úgy ítéli meg, hogy további tárgyalási fordulók megtartása szükséges, úgy ennek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tényéről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az ajánlattevőt az első tárgyalási fordulón fogja értesíteni a következő tárgyalási forduló időpontjának a megjelölésével.</w:t>
      </w:r>
    </w:p>
    <w:p w14:paraId="5F5FF858" w14:textId="77777777" w:rsidR="00485B52" w:rsidRPr="00082C38" w:rsidRDefault="00485B5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</w:p>
    <w:p w14:paraId="7FC73A3B" w14:textId="77777777" w:rsidR="00485B52" w:rsidRPr="00082C38" w:rsidRDefault="009815CD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 szóbeli tárgyalás befejezése után kötelező végleges ajánlat írásban történő benyújtása. A Kbt. 101. § (2) bekezdése alapján, az Ajánlatkérő felhívja a figyelmet arra, hogy a tárgyalás során a közbeszerzés tárgya és feltételei nem változhatnak olyan módon, hogy: A tárgyalás során a közbeszerzés tárgya és feltételei nem változhatnak olyan módon, hogy</w:t>
      </w:r>
    </w:p>
    <w:p w14:paraId="1911E9B7" w14:textId="77777777" w:rsidR="00485B52" w:rsidRPr="00082C38" w:rsidRDefault="00485B5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</w:p>
    <w:p w14:paraId="5F3FC3C1" w14:textId="77777777" w:rsidR="00485B52" w:rsidRPr="00082C38" w:rsidRDefault="009815CD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proofErr w:type="gram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</w:t>
      </w:r>
      <w:proofErr w:type="gram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) az eljárás alapján megkötött szerződés tárgya vagy feltételei olyan jellemzőjében, illetve</w:t>
      </w:r>
      <w:r w:rsidR="00485B52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körülményében térjen el az ajánlattételi felhívás megküldésekor beszerezni kívánt beszerzési tárgytól vagy megadott szerződéses</w:t>
      </w:r>
      <w:r w:rsidR="00485B52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feltételektől, amely nem tette volna lehetővé hirdetmény nélküli tárgyalásos eljárás alkalmazását,</w:t>
      </w:r>
    </w:p>
    <w:p w14:paraId="2C45BEBF" w14:textId="77777777" w:rsidR="00485B52" w:rsidRPr="00082C38" w:rsidRDefault="009815CD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b) az ajánlattételi felhívásban és a</w:t>
      </w:r>
      <w:r w:rsidR="00485B52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közbeszerzési dokumentumokban közölt feltételek olyan mértékben módosuljanak vagy egészüljenek ki, hogy annak következtében</w:t>
      </w:r>
      <w:r w:rsidR="00485B52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valamelyik ajánlattevő nem képes a tárgyalások befejezésével végleges ajánlatot tenni, vagy</w:t>
      </w:r>
    </w:p>
    <w:p w14:paraId="0AB373FD" w14:textId="77777777" w:rsidR="009815CD" w:rsidRPr="00082C38" w:rsidRDefault="009815CD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c) az értékelés szempontjai vagy módszere</w:t>
      </w:r>
      <w:r w:rsidR="00485B52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változna.</w:t>
      </w:r>
    </w:p>
    <w:p w14:paraId="21757925" w14:textId="77777777" w:rsidR="00485B52" w:rsidRDefault="00485B5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</w:p>
    <w:p w14:paraId="32B537D1" w14:textId="77777777" w:rsidR="00485B52" w:rsidRDefault="00485B5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</w:p>
    <w:p w14:paraId="6D2B0951" w14:textId="77777777" w:rsidR="00485B52" w:rsidRPr="00082C38" w:rsidRDefault="00485B5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sz w:val="24"/>
          <w:szCs w:val="24"/>
        </w:rPr>
        <w:t>IV.3) Adminisztratív információk</w:t>
      </w:r>
    </w:p>
    <w:p w14:paraId="271151B4" w14:textId="77777777" w:rsidR="00485B52" w:rsidRPr="00DC1970" w:rsidRDefault="00485B5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DC1970">
        <w:rPr>
          <w:rFonts w:ascii="Times New Roman" w:eastAsia="DejaVuSerif" w:hAnsi="Times New Roman" w:cs="Times New Roman"/>
          <w:sz w:val="24"/>
          <w:szCs w:val="24"/>
        </w:rPr>
        <w:t>IV.3.1) Az adott eljárásra vonatkozó korábbi közzététel</w:t>
      </w:r>
    </w:p>
    <w:p w14:paraId="5E7821CF" w14:textId="77777777" w:rsidR="00485B52" w:rsidRDefault="00485B5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485B52">
        <w:rPr>
          <w:rFonts w:ascii="Times New Roman" w:eastAsia="DejaVuSerif" w:hAnsi="Times New Roman" w:cs="Times New Roman"/>
          <w:sz w:val="24"/>
          <w:szCs w:val="24"/>
        </w:rPr>
        <w:t>A hirdetmény száma a Hivatalos Lapban:</w:t>
      </w:r>
    </w:p>
    <w:p w14:paraId="41B5DD9D" w14:textId="77777777" w:rsidR="00DC1970" w:rsidRDefault="00DC1970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</w:p>
    <w:p w14:paraId="79039A96" w14:textId="77777777" w:rsidR="00DC1970" w:rsidRPr="00082C38" w:rsidRDefault="00DC1970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sz w:val="24"/>
          <w:szCs w:val="24"/>
        </w:rPr>
        <w:t>IV.3.2) Ajánlattételi határidő</w:t>
      </w:r>
    </w:p>
    <w:p w14:paraId="1A4E626F" w14:textId="24C250E6" w:rsidR="00DC1970" w:rsidRPr="00C915B8" w:rsidRDefault="00DC1970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C915B8">
        <w:rPr>
          <w:rFonts w:ascii="Times New Roman" w:eastAsia="DejaVuSerif" w:hAnsi="Times New Roman" w:cs="Times New Roman"/>
          <w:sz w:val="24"/>
          <w:szCs w:val="24"/>
        </w:rPr>
        <w:t>Dátum, helyi idő:</w:t>
      </w:r>
      <w:r w:rsidR="00C915B8" w:rsidRPr="00C915B8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="00E14E94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2022. </w:t>
      </w:r>
      <w:r w:rsidR="00E14E94" w:rsidRPr="00E14E94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  <w:highlight w:val="yellow"/>
        </w:rPr>
        <w:t>…</w:t>
      </w:r>
    </w:p>
    <w:p w14:paraId="4C22EC34" w14:textId="77777777" w:rsidR="00DC1970" w:rsidRDefault="00DC1970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</w:p>
    <w:p w14:paraId="72CC6359" w14:textId="77777777" w:rsidR="00DC1970" w:rsidRPr="00082C38" w:rsidRDefault="00DC1970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sz w:val="24"/>
          <w:szCs w:val="24"/>
        </w:rPr>
        <w:t>IV.3.3) Azok a nyelvek, amelyeken az ajánlatok benyújthatók: HU</w:t>
      </w:r>
    </w:p>
    <w:p w14:paraId="260C5315" w14:textId="77777777" w:rsidR="00DC1970" w:rsidRPr="00082C38" w:rsidRDefault="00DC1970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</w:p>
    <w:p w14:paraId="41DC08F2" w14:textId="77777777" w:rsidR="00DC1970" w:rsidRPr="00082C38" w:rsidRDefault="00DC1970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sz w:val="24"/>
          <w:szCs w:val="24"/>
        </w:rPr>
        <w:t xml:space="preserve">IV.3.4) Az ajánlati kötöttség minimális időtartama: </w:t>
      </w:r>
      <w:r w:rsidRPr="00352711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30 nap</w:t>
      </w:r>
    </w:p>
    <w:p w14:paraId="31500E39" w14:textId="77777777" w:rsidR="00DC1970" w:rsidRPr="00082C38" w:rsidRDefault="00DC1970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</w:p>
    <w:p w14:paraId="673E602B" w14:textId="77777777" w:rsidR="00DC1970" w:rsidRPr="00082C38" w:rsidRDefault="00DC1970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sz w:val="24"/>
          <w:szCs w:val="24"/>
        </w:rPr>
        <w:t>IV.3.5) Az ajánlatok felbontásának feltételei</w:t>
      </w:r>
    </w:p>
    <w:p w14:paraId="5EFC4C0D" w14:textId="00AFBE8C" w:rsidR="00932402" w:rsidRDefault="00932402" w:rsidP="00932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C915B8">
        <w:rPr>
          <w:rFonts w:ascii="Times New Roman" w:eastAsia="DejaVuSerif" w:hAnsi="Times New Roman" w:cs="Times New Roman"/>
          <w:sz w:val="24"/>
          <w:szCs w:val="24"/>
        </w:rPr>
        <w:t>Dátum, helyi idő:</w:t>
      </w:r>
      <w:r w:rsidR="00C915B8" w:rsidRPr="00C915B8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="00082243" w:rsidRPr="0053026C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https://ekr.gov.hu</w:t>
      </w:r>
    </w:p>
    <w:p w14:paraId="4230E9AB" w14:textId="0465C9F3" w:rsidR="00082243" w:rsidRDefault="00082243" w:rsidP="00932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082243">
        <w:rPr>
          <w:rFonts w:ascii="Times New Roman" w:eastAsia="DejaVuSerif" w:hAnsi="Times New Roman" w:cs="Times New Roman"/>
          <w:sz w:val="24"/>
          <w:szCs w:val="24"/>
        </w:rPr>
        <w:t>Információk a jogosultakról és a bontási eljárásról:</w:t>
      </w:r>
      <w:r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Pr="00082243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424/2017. (XII. 19.) Korm. rendelet 15. § szerint, figyelemmel a Kbt. 68. § szakaszára</w:t>
      </w:r>
    </w:p>
    <w:p w14:paraId="0FFE8749" w14:textId="77777777" w:rsidR="00932402" w:rsidRDefault="0093240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</w:p>
    <w:p w14:paraId="3298B8F6" w14:textId="77777777" w:rsidR="00932402" w:rsidRDefault="0093240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</w:p>
    <w:p w14:paraId="27FC8D1C" w14:textId="77777777" w:rsidR="00932402" w:rsidRDefault="00932402" w:rsidP="009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  <w:r w:rsidRPr="00932402">
        <w:rPr>
          <w:rFonts w:ascii="Times New Roman" w:eastAsia="DejaVuSerif" w:hAnsi="Times New Roman" w:cs="Times New Roman"/>
          <w:b/>
          <w:bCs/>
          <w:sz w:val="24"/>
          <w:szCs w:val="24"/>
        </w:rPr>
        <w:t>V. szakasz: Kiegészítő információk</w:t>
      </w:r>
    </w:p>
    <w:p w14:paraId="1EBE398D" w14:textId="77777777" w:rsidR="00001C46" w:rsidRPr="00E71D96" w:rsidRDefault="00001C46" w:rsidP="0000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  <w:r w:rsidRPr="00E71D96">
        <w:rPr>
          <w:rFonts w:ascii="Times New Roman" w:eastAsia="DejaVuSerif" w:hAnsi="Times New Roman" w:cs="Times New Roman"/>
          <w:b/>
          <w:bCs/>
          <w:sz w:val="24"/>
          <w:szCs w:val="24"/>
        </w:rPr>
        <w:t>V.1) Kiegészítő információk (Amennyiben külön közbeszerzési dokumentumok megküldésére nem kerül sor.)</w:t>
      </w:r>
    </w:p>
    <w:p w14:paraId="02B2898D" w14:textId="6B4E529F" w:rsidR="00001C46" w:rsidRDefault="00D2132F" w:rsidP="0000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  <w:r w:rsidRPr="00D2132F">
        <w:rPr>
          <w:rFonts w:ascii="Times New Roman" w:eastAsia="DejaVuSerif" w:hAnsi="Times New Roman" w:cs="Times New Roman"/>
          <w:b/>
          <w:bCs/>
          <w:sz w:val="24"/>
          <w:szCs w:val="24"/>
        </w:rPr>
        <w:t>V.1.1) Szerződési feltételek:</w:t>
      </w:r>
    </w:p>
    <w:p w14:paraId="1653A9F6" w14:textId="509E9D0E" w:rsidR="00001C46" w:rsidRDefault="00001C46" w:rsidP="0000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</w:p>
    <w:p w14:paraId="1DCC0898" w14:textId="05EDD0E8" w:rsidR="00A300F2" w:rsidRPr="00A300F2" w:rsidRDefault="00A300F2" w:rsidP="00A3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A300F2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A szerződés </w:t>
      </w:r>
      <w:r w:rsidR="003913B9" w:rsidRPr="003913B9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 földgázellátásról</w:t>
      </w:r>
      <w:r w:rsidR="003913B9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szóló </w:t>
      </w:r>
      <w:r w:rsidR="003913B9" w:rsidRPr="003913B9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2008. évi XL. törvény</w:t>
      </w:r>
      <w:r w:rsidR="003913B9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(GET)</w:t>
      </w:r>
      <w:r w:rsidRPr="00A300F2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="004523EB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rendelkezése </w:t>
      </w:r>
      <w:r w:rsidRPr="00A300F2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alapján nyertes ajánlattevő üzletszabályzata szerint jön létre.</w:t>
      </w:r>
    </w:p>
    <w:p w14:paraId="6FFC0E94" w14:textId="3D1577BF" w:rsidR="00A300F2" w:rsidRDefault="00A300F2" w:rsidP="00A3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A300F2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Az árképzés a hatályos jogszabályok rendelkezései alapján és nyertes ajánlattevő üzletszabályzata szerint történik.</w:t>
      </w:r>
    </w:p>
    <w:p w14:paraId="48F38493" w14:textId="77777777" w:rsidR="00363E8F" w:rsidRDefault="00363E8F" w:rsidP="0000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</w:p>
    <w:p w14:paraId="22ABFDA4" w14:textId="77777777" w:rsidR="00001C46" w:rsidRDefault="00001C46" w:rsidP="0000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  <w:r w:rsidRPr="00001C46">
        <w:rPr>
          <w:rFonts w:ascii="Times New Roman" w:eastAsia="DejaVuSerif" w:hAnsi="Times New Roman" w:cs="Times New Roman"/>
          <w:b/>
          <w:bCs/>
          <w:sz w:val="24"/>
          <w:szCs w:val="24"/>
        </w:rPr>
        <w:t>V.2) Az ajánlati biztosíték</w:t>
      </w:r>
    </w:p>
    <w:p w14:paraId="3B2E3AB2" w14:textId="77777777" w:rsidR="00001C46" w:rsidRDefault="00001C46" w:rsidP="0000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  <w:r w:rsidRPr="00001C46">
        <w:rPr>
          <w:rFonts w:ascii="Times New Roman" w:eastAsia="DejaVuSerif" w:hAnsi="Times New Roman" w:cs="Times New Roman"/>
          <w:sz w:val="24"/>
          <w:szCs w:val="24"/>
        </w:rPr>
        <w:t>Az eljárásban való részvétel ajánlati biztosíték adásához kötött:</w:t>
      </w:r>
      <w:r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Nem</w:t>
      </w:r>
    </w:p>
    <w:p w14:paraId="778E8864" w14:textId="77777777" w:rsidR="00001C46" w:rsidRDefault="00001C46" w:rsidP="0000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</w:p>
    <w:p w14:paraId="32135A57" w14:textId="77777777" w:rsidR="00001C46" w:rsidRPr="00082C38" w:rsidRDefault="00001C46" w:rsidP="0000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V.3) További információk</w:t>
      </w:r>
    </w:p>
    <w:p w14:paraId="2B7D98BE" w14:textId="77777777" w:rsidR="00634B44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1. Formai előírások: Az ajánlatokat kizárólag elektronikus úton, az EKR rendszeren keresztül lehet benyújtani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Az ajánlat részét képező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dokumentumokat/nyilatkozatokat amennyiben nem áll rendelkezésre elektronikus űrlap, </w:t>
      </w:r>
      <w:proofErr w:type="gram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úgy .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pdf</w:t>
      </w:r>
      <w:proofErr w:type="spellEnd"/>
      <w:proofErr w:type="gram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formátumú fájlban kell elkészíteni.</w:t>
      </w:r>
    </w:p>
    <w:p w14:paraId="0C598266" w14:textId="77777777" w:rsidR="00634B44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Az EKR űrlapjait meghaladóan benyújtandó igazolásokat/nyilatkozatot (dokumentumot) a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gazdasági szereplő aláírásra jogosult, vagy általa meghatalmazott személynek alá kell írnia és fel kell tölteni az EKR felületén az erre a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célra létrehozott blokkokban. AK felhívja a figyelmet arra, hogy az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EKR-ben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megtett nyilatkozatokra vonatkozóan támasztott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követelmények tekintetében a Kbt. 41/A. §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-</w:t>
      </w:r>
      <w:proofErr w:type="gram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</w:t>
      </w:r>
      <w:proofErr w:type="spellEnd"/>
      <w:proofErr w:type="gram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az irányadó. AK felhívja a figyelmet az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EKRr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11. § (2)-(3) bekezdés rendelkezéseire.</w:t>
      </w:r>
    </w:p>
    <w:p w14:paraId="60EC4092" w14:textId="77777777" w:rsidR="00634B44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2. Az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ajánlatnak a Kbt. 66. § (5) bekezdés szerinti felolvasólapot kell tartalmaznia, amelyen fel </w:t>
      </w:r>
      <w:proofErr w:type="gram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kell</w:t>
      </w:r>
      <w:proofErr w:type="gram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tünteti a Kbt. 68. § (4) bekezdése szerinti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összes adatot.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ATnek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elektronikus űrlap formájában köteles az ajánlata részeként kitölteni (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EKRr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11. § (1) bekezdés).</w:t>
      </w:r>
    </w:p>
    <w:p w14:paraId="6275FFBF" w14:textId="5E4B66D1" w:rsidR="00634B44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3.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</w:t>
      </w:r>
      <w:r w:rsidR="008F6150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t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nek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az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alábbi cégokmányokat kell az ajánlathoz csatolnia:</w:t>
      </w:r>
    </w:p>
    <w:p w14:paraId="63E13301" w14:textId="77777777" w:rsidR="00634B44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proofErr w:type="gram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</w:t>
      </w:r>
      <w:proofErr w:type="gram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) az ajánlatot aláíró(k) aláírási címpéldányát, vagy a 2006. évi V. törvény 9. § (1)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bekezdés szerinti aláírás-mintáját;</w:t>
      </w:r>
    </w:p>
    <w:p w14:paraId="516E876D" w14:textId="03A7C8CC" w:rsidR="00634B44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b) a cégkivonatban nem szereplő </w:t>
      </w:r>
      <w:proofErr w:type="gram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kötelezettségvállaló(</w:t>
      </w:r>
      <w:proofErr w:type="gram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k) esetében a cégjegyzésre jogosult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személytől származó, az ajánlat aláírására vonatkozó (a meghatalmazó és a meghatalmazott aláírását is tartalmazó) teljes bizonyító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erejű magánokirat formájában benyújtott </w:t>
      </w:r>
      <w:r w:rsidR="008F6150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–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írásos meghatalmazást.</w:t>
      </w:r>
    </w:p>
    <w:p w14:paraId="0E0D5661" w14:textId="46E34867" w:rsidR="007B0D8F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 meghatalmazásnak tartalmaznia kell a meghatalmazott</w:t>
      </w:r>
      <w:r w:rsidR="00634B4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aláírás</w:t>
      </w:r>
      <w:r w:rsidR="00771819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át.</w:t>
      </w:r>
    </w:p>
    <w:p w14:paraId="30B7703A" w14:textId="77777777" w:rsidR="007B0D8F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4. Folyamatban lévő változásbejegyzési eljárás esetében csatolni kell az AT cégbírósághoz benyújtott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változásbejegyzési kérelmét és az annak érkezéséről a cégbíróság által megküldött igazolást. Amennyiben AT cégügyében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változásbejegyzési eljárás nincs folyamatban, </w:t>
      </w:r>
      <w:proofErr w:type="gram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kérjük</w:t>
      </w:r>
      <w:proofErr w:type="gram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ajánlatában csatolja az erről szóló nyilatkozatot. AK az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EKR-ben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a közbeszerzési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dokumentumok között elektronikus űrlapként létrehozza a Változásbejegyzésre vonatkozó nyilatkozat mintáját, amelyet az ajánlattevő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köteles kitölteni az ajánlatához kapcsolódóan.</w:t>
      </w:r>
    </w:p>
    <w:p w14:paraId="08592243" w14:textId="77777777" w:rsidR="007B0D8F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5. Az ajánlatnak tartalmaznia kell ajánlattevőnek a Kbt. 66. § (2) bekezdésében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foglaltaknak megfelelő kifejezett nyilatkozatát az eljárást megindító felhívás feltételeire, a szerződés megkötésére és teljesítésére,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valamint a kért ellenszolgáltatásra vonatkozóan (EKR űrlap szerint).</w:t>
      </w:r>
    </w:p>
    <w:p w14:paraId="5E8418DD" w14:textId="77777777" w:rsidR="007B0D8F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6. A határidők magyarországi helyi idő szerint értendők.</w:t>
      </w:r>
    </w:p>
    <w:p w14:paraId="0CBABCCA" w14:textId="77777777" w:rsidR="007B0D8F" w:rsidRPr="00082C38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7.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Amennyiben bármely, az ajánlathoz csatolt okirat, igazolás, 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nyilatkozat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stb. nem magyar nyelven kerül kiállításra, úgy azt az AT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magyar nyelvű fordításban is köteles becsatolni. A Kbt. 47. § (2) bekezdése alapján AK a nem magyar nyelven benyújtott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dokumentumok ajánlattevő általi fordítását is elfogadja. A fordítás tartalmának helyességéért az AT felel. Az ajánlatok bírálata során a</w:t>
      </w:r>
      <w:r w:rsidR="007B0D8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magyar nyelvű dokumentum az irányadó. AK a fentieken túl elfogadja az eredetileg két nyelven készült iratokat, nyilatkozatokat is.</w:t>
      </w:r>
    </w:p>
    <w:p w14:paraId="72E95770" w14:textId="77777777" w:rsidR="005E54EC" w:rsidRPr="00082C38" w:rsidRDefault="005F236D" w:rsidP="005E5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8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 Az ajánlat összeállításával és benyújtásával kapcsolatban felmerült összes költség az AT-t terheli.</w:t>
      </w:r>
    </w:p>
    <w:p w14:paraId="7CCC5D84" w14:textId="77777777" w:rsidR="007C6509" w:rsidRPr="00082C38" w:rsidRDefault="005F236D" w:rsidP="005E5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9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 AK felhívja a figyelmet arra, hogy az ajánlatban csatolt dokumentumok üzleti titokká nyilvánítása</w:t>
      </w:r>
      <w:r w:rsidR="007C6509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kizárólag a Kbt. 44. § szerinti előírásoknak megfelelően lehetséges. Az üzleti 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lastRenderedPageBreak/>
        <w:t>titkot tartalmazó dokumentum elkülönített elhelyezésére</w:t>
      </w:r>
      <w:r w:rsidR="007C6509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az </w:t>
      </w:r>
      <w:proofErr w:type="spellStart"/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EKR-ben</w:t>
      </w:r>
      <w:proofErr w:type="spellEnd"/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erre szolgáló funkciót alkalmazza. (</w:t>
      </w:r>
      <w:proofErr w:type="spellStart"/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EKRr</w:t>
      </w:r>
      <w:proofErr w:type="spellEnd"/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11. § (4) bekezdés). AT az üzleti titkot tartalmazó, elkülönített irathoz indokolást</w:t>
      </w:r>
      <w:r w:rsidR="007C6509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köteles csatolni, amelyben részletesen alátámasztja, hogy az adott információ vagy adat nyilvánosságra hozatala miért és milyen</w:t>
      </w:r>
      <w:r w:rsidR="007C6509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módon okozna számára aránytalan sérelmet.</w:t>
      </w:r>
    </w:p>
    <w:p w14:paraId="4B7343FE" w14:textId="77777777" w:rsidR="008F6150" w:rsidRPr="00082C38" w:rsidRDefault="005E54EC" w:rsidP="005E5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</w:t>
      </w:r>
      <w:r w:rsidR="005F236D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0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 Az ajánlatnak tartalmaznia kell a felhívásban külön ki nem emelt egyéb</w:t>
      </w:r>
      <w:r w:rsidR="007C6509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nyilatkozatokat, igazolásokat és más dokumentumokat, melyeket a Kbt.</w:t>
      </w:r>
      <w:r w:rsidR="007C6509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és/vagy Ajánlatkérő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kötelezően előír. </w:t>
      </w:r>
    </w:p>
    <w:p w14:paraId="472C9EA4" w14:textId="0F47AAE1" w:rsidR="007C6509" w:rsidRPr="00082C38" w:rsidRDefault="005E54EC" w:rsidP="005E5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</w:t>
      </w:r>
      <w:r w:rsidR="005F236D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 AK nem teszi lehetővé a nyertes</w:t>
      </w:r>
      <w:r w:rsidR="007C6509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proofErr w:type="gram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ajánlattevő(</w:t>
      </w:r>
      <w:proofErr w:type="gram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k) számára a szerződés teljesítése érdekében gazdálkodó szervezet (projekttársaság) létrehozását.</w:t>
      </w:r>
    </w:p>
    <w:p w14:paraId="15CEE601" w14:textId="5C40DC5E" w:rsidR="007C6509" w:rsidRPr="00082C38" w:rsidRDefault="005E54EC" w:rsidP="005E5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</w:t>
      </w:r>
      <w:r w:rsidR="005F236D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2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. FAKSZ: </w:t>
      </w:r>
      <w:r w:rsidR="008F6150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dr. Varga Dóra Katalin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, lajstromszám:</w:t>
      </w:r>
      <w:r w:rsidR="00FA1E17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="008F6150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00155</w:t>
      </w:r>
      <w:r w:rsidR="00C17C04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</w:t>
      </w:r>
    </w:p>
    <w:p w14:paraId="3D5A6178" w14:textId="77777777" w:rsidR="005F236D" w:rsidRPr="00082C38" w:rsidRDefault="005E54EC" w:rsidP="005F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</w:t>
      </w:r>
      <w:r w:rsidR="005F236D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3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 A jelen felhívásban és a közbeszerzési dokumentumokban nem szabályozott kérdésekben a</w:t>
      </w:r>
      <w:r w:rsidR="005F236D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Kbt., a végrehajtási rendeletek és a Ptk.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az irányadó.</w:t>
      </w:r>
    </w:p>
    <w:p w14:paraId="4F5A1FC5" w14:textId="77777777" w:rsidR="005F236D" w:rsidRPr="00082C38" w:rsidRDefault="005E54EC" w:rsidP="005F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</w:t>
      </w:r>
      <w:r w:rsidR="005F236D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4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 AT köteles ajánlatában közbeszerzési dokumentumokban található</w:t>
      </w:r>
      <w:r w:rsidR="005F236D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adatkezelési tájékoztató megismeréséről szóló nyilatkozatot csatolni.</w:t>
      </w:r>
    </w:p>
    <w:p w14:paraId="4F81A6FA" w14:textId="165D355D" w:rsidR="005E54EC" w:rsidRPr="00082C38" w:rsidRDefault="00BD58EE" w:rsidP="005E5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15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 A IV.3.4 pont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szerinti ajánlati kötöttség a tárgyalás befejezésétől számított </w:t>
      </w: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3</w:t>
      </w:r>
      <w:r w:rsidR="005E54EC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0 nap.</w:t>
      </w:r>
    </w:p>
    <w:p w14:paraId="10D4FEDD" w14:textId="4114FED3" w:rsidR="00996FAA" w:rsidRPr="00082C38" w:rsidRDefault="00996FAA" w:rsidP="005E5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16. AK a hiánypótlásra a Kbt. 71. § szerint teljes körben lehetőséget biztosít.</w:t>
      </w:r>
    </w:p>
    <w:p w14:paraId="5D80CEF9" w14:textId="7C181A48" w:rsidR="00996FAA" w:rsidRPr="00082C38" w:rsidRDefault="00996FAA" w:rsidP="00996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17. Az EKR használatával kapcsolatban bővebb információ a rendszerbe belépve, a https://ekr.gov.hu/portal/tamogatas oldalon, valamint az üzemeltető elérhetőségein érhető el, AK a rendszer működésével, használatával kapcsolatban nem nyújt tájékoztatást.</w:t>
      </w:r>
    </w:p>
    <w:p w14:paraId="1C7B1CD6" w14:textId="6CE2E42A" w:rsidR="005D79FF" w:rsidRPr="00082C38" w:rsidRDefault="005D79FF" w:rsidP="005D7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18. AT köteles megfelelni a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körny</w:t>
      </w:r>
      <w:proofErr w:type="gram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.véd</w:t>
      </w:r>
      <w:proofErr w:type="spellEnd"/>
      <w:proofErr w:type="gram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.,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szoc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. és munkajogi követelményeknek, amelyeket a jogszabályok vagy kötelezően alkalmazandó kollektív szerződés, illetve a Kbt. 4. mellékletben felsorolt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körny.véd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.,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szoc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. és munkajogi rendelkezések írnak elő. </w:t>
      </w:r>
    </w:p>
    <w:p w14:paraId="43B53EC2" w14:textId="3FE74CE1" w:rsidR="005D79FF" w:rsidRPr="00082C38" w:rsidRDefault="005D79FF" w:rsidP="005D7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AK a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KD-ban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 tájékoztatásként megjelölte azoknak a szervezeteknek (hatóságoknak) a nevét és címét (elérhetőségét), amelyektől AT megfelelő tájékozódást kaphat. (Kbt. 73. § (4)-(5) </w:t>
      </w:r>
      <w:proofErr w:type="spellStart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bek</w:t>
      </w:r>
      <w:proofErr w:type="spellEnd"/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.)</w:t>
      </w:r>
    </w:p>
    <w:p w14:paraId="67746960" w14:textId="74998D51" w:rsidR="005D79FF" w:rsidRPr="00082C38" w:rsidRDefault="00AB4CDF" w:rsidP="005D7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</w:pPr>
      <w:r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20</w:t>
      </w:r>
      <w:r w:rsidR="005D79F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 xml:space="preserve">. További részletes információk a </w:t>
      </w:r>
      <w:proofErr w:type="spellStart"/>
      <w:r w:rsidR="005D79F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KD-ban</w:t>
      </w:r>
      <w:proofErr w:type="spellEnd"/>
      <w:r w:rsidR="005D79FF" w:rsidRPr="00082C38">
        <w:rPr>
          <w:rFonts w:ascii="Times New Roman" w:eastAsia="DejaVuSerif" w:hAnsi="Times New Roman" w:cs="Times New Roman"/>
          <w:b/>
          <w:bCs/>
          <w:color w:val="00B0F0"/>
          <w:sz w:val="24"/>
          <w:szCs w:val="24"/>
        </w:rPr>
        <w:t>.</w:t>
      </w:r>
    </w:p>
    <w:p w14:paraId="3BEF9991" w14:textId="77777777" w:rsidR="00001C46" w:rsidRPr="00634B44" w:rsidRDefault="00001C46" w:rsidP="0063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bCs/>
          <w:sz w:val="24"/>
          <w:szCs w:val="24"/>
        </w:rPr>
      </w:pPr>
    </w:p>
    <w:sectPr w:rsidR="00001C46" w:rsidRPr="0063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80B65"/>
    <w:multiLevelType w:val="hybridMultilevel"/>
    <w:tmpl w:val="E45082CC"/>
    <w:lvl w:ilvl="0" w:tplc="172689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6A90"/>
    <w:multiLevelType w:val="hybridMultilevel"/>
    <w:tmpl w:val="A88E0390"/>
    <w:lvl w:ilvl="0" w:tplc="3D70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E4945"/>
    <w:multiLevelType w:val="hybridMultilevel"/>
    <w:tmpl w:val="471ED6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E73F2"/>
    <w:multiLevelType w:val="hybridMultilevel"/>
    <w:tmpl w:val="AB763BE8"/>
    <w:lvl w:ilvl="0" w:tplc="405A50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DC"/>
    <w:rsid w:val="00001C46"/>
    <w:rsid w:val="00006BF3"/>
    <w:rsid w:val="00012A28"/>
    <w:rsid w:val="00045D48"/>
    <w:rsid w:val="00045D64"/>
    <w:rsid w:val="000606B8"/>
    <w:rsid w:val="00066A54"/>
    <w:rsid w:val="00082243"/>
    <w:rsid w:val="00082C38"/>
    <w:rsid w:val="00083DD4"/>
    <w:rsid w:val="00094942"/>
    <w:rsid w:val="000957D2"/>
    <w:rsid w:val="000A33C9"/>
    <w:rsid w:val="000C6DDC"/>
    <w:rsid w:val="000C6FE4"/>
    <w:rsid w:val="000E7857"/>
    <w:rsid w:val="000F42FF"/>
    <w:rsid w:val="000F4D83"/>
    <w:rsid w:val="000F512D"/>
    <w:rsid w:val="000F7317"/>
    <w:rsid w:val="00104FE4"/>
    <w:rsid w:val="001157FB"/>
    <w:rsid w:val="00152C08"/>
    <w:rsid w:val="0015384C"/>
    <w:rsid w:val="00167D52"/>
    <w:rsid w:val="0019746D"/>
    <w:rsid w:val="00197C5B"/>
    <w:rsid w:val="001A0C60"/>
    <w:rsid w:val="001A4B38"/>
    <w:rsid w:val="001A6333"/>
    <w:rsid w:val="001B54FF"/>
    <w:rsid w:val="001D53A0"/>
    <w:rsid w:val="001E12D2"/>
    <w:rsid w:val="001F7917"/>
    <w:rsid w:val="00230623"/>
    <w:rsid w:val="0026296B"/>
    <w:rsid w:val="002821F6"/>
    <w:rsid w:val="00286304"/>
    <w:rsid w:val="00287C99"/>
    <w:rsid w:val="002B50AB"/>
    <w:rsid w:val="002C02DB"/>
    <w:rsid w:val="002D5BF3"/>
    <w:rsid w:val="002D6B07"/>
    <w:rsid w:val="002E71BF"/>
    <w:rsid w:val="002F67E5"/>
    <w:rsid w:val="00322536"/>
    <w:rsid w:val="003257EA"/>
    <w:rsid w:val="00331476"/>
    <w:rsid w:val="00352711"/>
    <w:rsid w:val="00363E8F"/>
    <w:rsid w:val="00366864"/>
    <w:rsid w:val="00367A85"/>
    <w:rsid w:val="003913B9"/>
    <w:rsid w:val="00394090"/>
    <w:rsid w:val="003A0919"/>
    <w:rsid w:val="003B4834"/>
    <w:rsid w:val="003E0548"/>
    <w:rsid w:val="003F40D8"/>
    <w:rsid w:val="003F52EF"/>
    <w:rsid w:val="00406B11"/>
    <w:rsid w:val="004107B8"/>
    <w:rsid w:val="00432844"/>
    <w:rsid w:val="004523EB"/>
    <w:rsid w:val="0045271F"/>
    <w:rsid w:val="00454197"/>
    <w:rsid w:val="00474F11"/>
    <w:rsid w:val="00485B52"/>
    <w:rsid w:val="004C3291"/>
    <w:rsid w:val="004E4469"/>
    <w:rsid w:val="004F0E9C"/>
    <w:rsid w:val="004F5759"/>
    <w:rsid w:val="00500BB9"/>
    <w:rsid w:val="005035C4"/>
    <w:rsid w:val="00511C89"/>
    <w:rsid w:val="0052238A"/>
    <w:rsid w:val="0052492E"/>
    <w:rsid w:val="00526485"/>
    <w:rsid w:val="0053026C"/>
    <w:rsid w:val="00556A72"/>
    <w:rsid w:val="00561698"/>
    <w:rsid w:val="00582AFE"/>
    <w:rsid w:val="005A6EB1"/>
    <w:rsid w:val="005A746A"/>
    <w:rsid w:val="005B10E3"/>
    <w:rsid w:val="005B7BDA"/>
    <w:rsid w:val="005C58F7"/>
    <w:rsid w:val="005D79FF"/>
    <w:rsid w:val="005E0866"/>
    <w:rsid w:val="005E0D72"/>
    <w:rsid w:val="005E54EC"/>
    <w:rsid w:val="005F236D"/>
    <w:rsid w:val="005F3302"/>
    <w:rsid w:val="005F6EF7"/>
    <w:rsid w:val="006050F8"/>
    <w:rsid w:val="00634B44"/>
    <w:rsid w:val="00645FF1"/>
    <w:rsid w:val="006516A7"/>
    <w:rsid w:val="00662D9C"/>
    <w:rsid w:val="00682DF1"/>
    <w:rsid w:val="00694A0F"/>
    <w:rsid w:val="00696EB2"/>
    <w:rsid w:val="006971A8"/>
    <w:rsid w:val="006A3367"/>
    <w:rsid w:val="006B22B5"/>
    <w:rsid w:val="006B77E6"/>
    <w:rsid w:val="006C3217"/>
    <w:rsid w:val="006D4113"/>
    <w:rsid w:val="006D7374"/>
    <w:rsid w:val="006E0D82"/>
    <w:rsid w:val="006E5037"/>
    <w:rsid w:val="00702F0D"/>
    <w:rsid w:val="0070610D"/>
    <w:rsid w:val="007474C6"/>
    <w:rsid w:val="00771819"/>
    <w:rsid w:val="007958B3"/>
    <w:rsid w:val="007A3A13"/>
    <w:rsid w:val="007B0D8F"/>
    <w:rsid w:val="007B7CE6"/>
    <w:rsid w:val="007C6509"/>
    <w:rsid w:val="007D0D86"/>
    <w:rsid w:val="007D29E9"/>
    <w:rsid w:val="007D40A5"/>
    <w:rsid w:val="007E43B5"/>
    <w:rsid w:val="007E540B"/>
    <w:rsid w:val="007F66EF"/>
    <w:rsid w:val="008018A1"/>
    <w:rsid w:val="00804B2E"/>
    <w:rsid w:val="0080656F"/>
    <w:rsid w:val="00817DE6"/>
    <w:rsid w:val="0082167A"/>
    <w:rsid w:val="00831594"/>
    <w:rsid w:val="008423D2"/>
    <w:rsid w:val="0084246F"/>
    <w:rsid w:val="00852936"/>
    <w:rsid w:val="00867518"/>
    <w:rsid w:val="008905AA"/>
    <w:rsid w:val="00894B83"/>
    <w:rsid w:val="008B159A"/>
    <w:rsid w:val="008F6150"/>
    <w:rsid w:val="008F78E5"/>
    <w:rsid w:val="00913D52"/>
    <w:rsid w:val="00914F84"/>
    <w:rsid w:val="00920CCA"/>
    <w:rsid w:val="00932402"/>
    <w:rsid w:val="00935196"/>
    <w:rsid w:val="00953F13"/>
    <w:rsid w:val="00967289"/>
    <w:rsid w:val="00971B49"/>
    <w:rsid w:val="00977A16"/>
    <w:rsid w:val="009815CD"/>
    <w:rsid w:val="00996FAA"/>
    <w:rsid w:val="009A342D"/>
    <w:rsid w:val="009A682B"/>
    <w:rsid w:val="009C3D5D"/>
    <w:rsid w:val="009E2290"/>
    <w:rsid w:val="009E6C9D"/>
    <w:rsid w:val="009F3895"/>
    <w:rsid w:val="00A00434"/>
    <w:rsid w:val="00A03A31"/>
    <w:rsid w:val="00A10CE9"/>
    <w:rsid w:val="00A11BCA"/>
    <w:rsid w:val="00A22DC0"/>
    <w:rsid w:val="00A24E71"/>
    <w:rsid w:val="00A2778F"/>
    <w:rsid w:val="00A300F2"/>
    <w:rsid w:val="00A31FE3"/>
    <w:rsid w:val="00A40BF0"/>
    <w:rsid w:val="00A4177C"/>
    <w:rsid w:val="00A473D0"/>
    <w:rsid w:val="00A56F3F"/>
    <w:rsid w:val="00A57145"/>
    <w:rsid w:val="00A6089E"/>
    <w:rsid w:val="00A66FF9"/>
    <w:rsid w:val="00A90BBA"/>
    <w:rsid w:val="00A91473"/>
    <w:rsid w:val="00AB4CDF"/>
    <w:rsid w:val="00AB74D5"/>
    <w:rsid w:val="00AD669C"/>
    <w:rsid w:val="00AE01A8"/>
    <w:rsid w:val="00AE0255"/>
    <w:rsid w:val="00AE0498"/>
    <w:rsid w:val="00B03D80"/>
    <w:rsid w:val="00B143B9"/>
    <w:rsid w:val="00B223AC"/>
    <w:rsid w:val="00B30704"/>
    <w:rsid w:val="00B449FE"/>
    <w:rsid w:val="00B47CDD"/>
    <w:rsid w:val="00B518B6"/>
    <w:rsid w:val="00BC2C3A"/>
    <w:rsid w:val="00BD38E3"/>
    <w:rsid w:val="00BD58EE"/>
    <w:rsid w:val="00BD6B21"/>
    <w:rsid w:val="00BF6A56"/>
    <w:rsid w:val="00BF7313"/>
    <w:rsid w:val="00C07EB1"/>
    <w:rsid w:val="00C17C04"/>
    <w:rsid w:val="00C22A83"/>
    <w:rsid w:val="00C4592F"/>
    <w:rsid w:val="00C45999"/>
    <w:rsid w:val="00C5187E"/>
    <w:rsid w:val="00C67276"/>
    <w:rsid w:val="00C7422A"/>
    <w:rsid w:val="00C76529"/>
    <w:rsid w:val="00C908DC"/>
    <w:rsid w:val="00C915B8"/>
    <w:rsid w:val="00CC2396"/>
    <w:rsid w:val="00CF4B12"/>
    <w:rsid w:val="00CF5151"/>
    <w:rsid w:val="00D120CA"/>
    <w:rsid w:val="00D2132F"/>
    <w:rsid w:val="00D21988"/>
    <w:rsid w:val="00D25DAE"/>
    <w:rsid w:val="00D3706D"/>
    <w:rsid w:val="00D47E44"/>
    <w:rsid w:val="00D612A6"/>
    <w:rsid w:val="00D627BC"/>
    <w:rsid w:val="00D7398D"/>
    <w:rsid w:val="00D75B6C"/>
    <w:rsid w:val="00D77C01"/>
    <w:rsid w:val="00D95B39"/>
    <w:rsid w:val="00DA6645"/>
    <w:rsid w:val="00DB07AE"/>
    <w:rsid w:val="00DC046B"/>
    <w:rsid w:val="00DC1970"/>
    <w:rsid w:val="00DE22A1"/>
    <w:rsid w:val="00DE29DE"/>
    <w:rsid w:val="00DE36B1"/>
    <w:rsid w:val="00DE7325"/>
    <w:rsid w:val="00DF1CD5"/>
    <w:rsid w:val="00E00ABD"/>
    <w:rsid w:val="00E10871"/>
    <w:rsid w:val="00E13AE2"/>
    <w:rsid w:val="00E14E94"/>
    <w:rsid w:val="00E20186"/>
    <w:rsid w:val="00E27DD6"/>
    <w:rsid w:val="00E37E59"/>
    <w:rsid w:val="00E40C0F"/>
    <w:rsid w:val="00E61E13"/>
    <w:rsid w:val="00E71D96"/>
    <w:rsid w:val="00E77F11"/>
    <w:rsid w:val="00E84DFB"/>
    <w:rsid w:val="00EC28F3"/>
    <w:rsid w:val="00ED4CC5"/>
    <w:rsid w:val="00EE4484"/>
    <w:rsid w:val="00EE54E6"/>
    <w:rsid w:val="00F00A4E"/>
    <w:rsid w:val="00F038A3"/>
    <w:rsid w:val="00F1132B"/>
    <w:rsid w:val="00F11600"/>
    <w:rsid w:val="00F621EF"/>
    <w:rsid w:val="00F70B1F"/>
    <w:rsid w:val="00F7318C"/>
    <w:rsid w:val="00F75710"/>
    <w:rsid w:val="00F97D2B"/>
    <w:rsid w:val="00FA1E17"/>
    <w:rsid w:val="00FB0B88"/>
    <w:rsid w:val="00FC0767"/>
    <w:rsid w:val="00FD4789"/>
    <w:rsid w:val="00FE2A37"/>
    <w:rsid w:val="00FE3730"/>
    <w:rsid w:val="00FE4F6B"/>
    <w:rsid w:val="00FE7082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9AF6"/>
  <w15:chartTrackingRefBased/>
  <w15:docId w15:val="{44D0C0AA-23DC-4BD1-8A15-54D06D66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7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32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F52E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B07A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B07AE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E08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086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086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08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086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F6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varga@vdd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2574</Words>
  <Characters>17765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Bukor Kata</dc:creator>
  <cp:keywords/>
  <dc:description/>
  <cp:lastModifiedBy>Horváth János dr.</cp:lastModifiedBy>
  <cp:revision>2</cp:revision>
  <cp:lastPrinted>2021-11-22T13:42:00Z</cp:lastPrinted>
  <dcterms:created xsi:type="dcterms:W3CDTF">2022-04-28T11:23:00Z</dcterms:created>
  <dcterms:modified xsi:type="dcterms:W3CDTF">2022-04-28T11:23:00Z</dcterms:modified>
</cp:coreProperties>
</file>