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C91E092" Type="http://schemas.openxmlformats.org/officeDocument/2006/relationships/officeDocument" Target="/word/document.xml" /><Relationship Id="coreRC91E09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body>
    <w:p>
      <w:pPr>
        <w:pStyle w:val="P56"/>
        <w:jc w:val="left"/>
        <w:rPr>
          <w:b w:val="1"/>
          <w:i w:val="0"/>
          <w:sz w:val="28"/>
          <w:szCs w:val="28"/>
        </w:rPr>
      </w:pPr>
      <w:r>
        <w:rPr>
          <w:b w:val="1"/>
          <w:i w:val="0"/>
          <w:sz w:val="28"/>
          <w:szCs w:val="28"/>
        </w:rPr>
        <w:t>Budapest Főváros XIV. Kerület Zugló Önkormányzata</w:t>
      </w:r>
    </w:p>
    <w:p>
      <w:pPr>
        <w:pStyle w:val="P4"/>
        <w:ind w:firstLine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Polgármestere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b w:val="1"/>
          <w:sz w:val="28"/>
          <w:szCs w:val="28"/>
        </w:rPr>
        <w:t xml:space="preserve">Szám: </w:t>
      </w:r>
      <w:r>
        <w:rPr>
          <w:b w:val="0"/>
          <w:sz w:val="28"/>
          <w:szCs w:val="22"/>
        </w:rPr>
        <w:t>123-123/2026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>Nyilvános ülésen tárgyalandó!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4"/>
          <w:szCs w:val="22"/>
          <w:u w:val="none"/>
        </w:rPr>
      </w:pPr>
      <w:r>
        <w:rPr>
          <w:rFonts w:ascii="Times New Roman" w:hAnsi="Times New Roman"/>
          <w:sz w:val="24"/>
          <w:szCs w:val="22"/>
          <w:u w:val="none"/>
        </w:rPr>
        <w:t xml:space="preserve">SÜRGŐSSÉG INDOKA: A képviselő-testület 2026. március 5-i rendes ülésére előkészített előterjesztések közzétételének időpontjáig a mellékletekre vonatkozó egyeztetések nem történtek meg, a Zuglói ZRt. üzleti terve sem érkezett meg ezen időpontig így az előterjesztés csak sürgősségi anyagként kerülhetett benyújtásra. 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pStyle w:val="P19"/>
        <w:pBdr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between w:val="none" w:sz="0" w:space="0" w:shadow="0" w:frame="0" w:color="auto"/>
        </w:pBdr>
        <w:spacing w:before="0" w:after="0" w:beforeAutospacing="0" w:afterAutospacing="0"/>
        <w:rPr>
          <w:rFonts w:ascii="Times New Roman" w:hAnsi="Times New Roman"/>
          <w:bCs w:val="1"/>
          <w:sz w:val="28"/>
          <w:szCs w:val="28"/>
        </w:rPr>
      </w:pPr>
      <w:r>
        <w:rPr>
          <w:rFonts w:ascii="Times New Roman" w:hAnsi="Times New Roman"/>
          <w:bCs w:val="1"/>
          <w:sz w:val="28"/>
          <w:szCs w:val="28"/>
        </w:rPr>
        <w:t>Napirend száma: …………</w:t>
      </w:r>
    </w:p>
    <w:p>
      <w:pPr>
        <w:rPr>
          <w:bCs w:val="1"/>
          <w:sz w:val="28"/>
          <w:szCs w:val="28"/>
        </w:rPr>
      </w:pPr>
    </w:p>
    <w:p>
      <w:pPr>
        <w:pStyle w:val="P24"/>
        <w:pBdr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between w:val="none" w:sz="0" w:space="0" w:shadow="0" w:frame="0" w:color="auto"/>
        </w:pBdr>
        <w:spacing w:before="0" w:after="0" w:beforeAutospacing="0" w:afterAutospacing="0"/>
        <w:jc w:val="center"/>
        <w:rPr>
          <w:rFonts w:ascii="Times New Roman" w:hAnsi="Times New Roman"/>
          <w:b w:val="0"/>
          <w:bCs w:val="1"/>
          <w:sz w:val="28"/>
          <w:szCs w:val="28"/>
        </w:rPr>
      </w:pPr>
      <w:r>
        <w:rPr>
          <w:rFonts w:ascii="Times New Roman" w:hAnsi="Times New Roman"/>
          <w:b w:val="0"/>
          <w:bCs w:val="1"/>
          <w:sz w:val="28"/>
          <w:szCs w:val="28"/>
        </w:rPr>
        <w:t xml:space="preserve">a Képviselő-testület </w:t>
      </w:r>
    </w:p>
    <w:p>
      <w:pPr>
        <w:pStyle w:val="P24"/>
        <w:pBdr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between w:val="none" w:sz="0" w:space="0" w:shadow="0" w:frame="0" w:color="auto"/>
        </w:pBdr>
        <w:spacing w:before="0" w:after="0" w:beforeAutospacing="0" w:afterAutospacing="0"/>
        <w:jc w:val="center"/>
        <w:rPr>
          <w:rFonts w:ascii="Times New Roman" w:hAnsi="Times New Roman"/>
          <w:b w:val="0"/>
          <w:bCs w:val="1"/>
          <w:sz w:val="28"/>
          <w:szCs w:val="28"/>
        </w:rPr>
      </w:pPr>
      <w:r>
        <w:rPr>
          <w:rFonts w:ascii="Times New Roman" w:hAnsi="Times New Roman"/>
          <w:b w:val="0"/>
          <w:bCs w:val="1"/>
          <w:sz w:val="28"/>
          <w:szCs w:val="28"/>
        </w:rPr>
        <w:t>2026. március 05-ei rendes ülésére</w:t>
      </w:r>
    </w:p>
    <w:p>
      <w:pPr>
        <w:rPr>
          <w:bCs w:val="1"/>
          <w:sz w:val="28"/>
          <w:szCs w:val="28"/>
        </w:rPr>
      </w:pPr>
    </w:p>
    <w:p>
      <w:pPr>
        <w:rPr>
          <w:bCs w:val="1"/>
          <w:sz w:val="28"/>
          <w:szCs w:val="28"/>
        </w:rPr>
      </w:pPr>
    </w:p>
    <w:p>
      <w:pPr>
        <w:pStyle w:val="P19"/>
        <w:pBdr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between w:val="none" w:sz="0" w:space="0" w:shadow="0" w:frame="0" w:color="auto"/>
        </w:pBdr>
        <w:spacing w:before="0" w:after="0" w:beforeAutospacing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Tisztelt Képviselő-testület!</w:t>
      </w:r>
    </w:p>
    <w:p>
      <w:pPr>
        <w:jc w:val="center"/>
        <w:rPr>
          <w:bCs w:val="1"/>
          <w:sz w:val="28"/>
          <w:szCs w:val="28"/>
        </w:rPr>
      </w:pPr>
    </w:p>
    <w:p>
      <w:pPr>
        <w:jc w:val="center"/>
        <w:rPr>
          <w:bCs w:val="1"/>
          <w:sz w:val="28"/>
          <w:szCs w:val="28"/>
        </w:rPr>
      </w:pPr>
    </w:p>
    <w:p>
      <w:pPr>
        <w:ind w:hanging="1410" w:left="1410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</w:rPr>
        <w:t>Tárgy</w:t>
      </w:r>
      <w:r>
        <w:rPr>
          <w:sz w:val="28"/>
          <w:szCs w:val="28"/>
        </w:rPr>
        <w:t>:</w:t>
        <w:tab/>
        <w:tab/>
      </w:r>
      <w:r>
        <w:rPr>
          <w:bCs w:val="1"/>
          <w:sz w:val="28"/>
          <w:szCs w:val="28"/>
        </w:rPr>
        <w:t>Budapest Főváros XIV. Kerület Zugló Önkormányzata 2026. évi költségvetéséről szóló 2/2026. (II. 13.) önkormányzati rendelet módosítása</w:t>
      </w:r>
    </w:p>
    <w:p>
      <w:pPr>
        <w:rPr>
          <w:b w:val="1"/>
          <w:sz w:val="28"/>
          <w:szCs w:val="28"/>
        </w:rPr>
      </w:pPr>
    </w:p>
    <w:p>
      <w:pPr>
        <w:rPr>
          <w:b w:val="1"/>
          <w:sz w:val="28"/>
          <w:szCs w:val="28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4" w:space="1" w:shadow="0" w:frame="0" w:color="auto"/>
          <w:right w:val="none" w:sz="0" w:space="0" w:shadow="0" w:frame="0" w:color="auto"/>
          <w:between w:val="none" w:sz="0" w:space="0" w:shadow="0" w:frame="0" w:color="auto"/>
        </w:pBdr>
        <w:rPr>
          <w:b w:val="1"/>
          <w:sz w:val="28"/>
          <w:szCs w:val="28"/>
        </w:rPr>
      </w:pPr>
      <w:r>
        <w:rPr>
          <w:b w:val="1"/>
          <w:sz w:val="28"/>
          <w:szCs w:val="28"/>
        </w:rPr>
        <w:t xml:space="preserve">I. </w:t>
      </w:r>
      <w:r>
        <w:rPr>
          <w:b w:val="1"/>
          <w:bCs w:val="1"/>
          <w:color w:val="000000"/>
          <w:sz w:val="28"/>
          <w:szCs w:val="28"/>
        </w:rPr>
        <w:t>Előzmények</w:t>
      </w:r>
    </w:p>
    <w:p>
      <w:pPr>
        <w:pStyle w:val="P10"/>
        <w:tabs>
          <w:tab w:val="clear" w:pos="4536" w:leader="none"/>
          <w:tab w:val="clear" w:pos="9072" w:leader="none"/>
        </w:tabs>
        <w:rPr>
          <w:sz w:val="28"/>
          <w:szCs w:val="28"/>
          <w:u w:val="single"/>
          <w:lang w:val="hu-HU"/>
        </w:rPr>
      </w:pPr>
    </w:p>
    <w:p>
      <w:pPr>
        <w:pStyle w:val="P13"/>
        <w:tabs>
          <w:tab w:val="left" w:pos="284" w:leader="none"/>
        </w:tabs>
        <w:rPr>
          <w:sz w:val="28"/>
          <w:szCs w:val="28"/>
          <w:lang w:val="hu-HU"/>
        </w:rPr>
      </w:pPr>
      <w:bookmarkStart w:id="0" w:name="_Hlk55905518"/>
      <w:r>
        <w:rPr>
          <w:sz w:val="28"/>
          <w:szCs w:val="28"/>
        </w:rPr>
        <w:t>Budapest Főváros XIV. Kerület Zugló Önkormányzat</w:t>
      </w:r>
      <w:r>
        <w:rPr>
          <w:sz w:val="28"/>
          <w:szCs w:val="28"/>
          <w:lang w:val="hu-HU"/>
        </w:rPr>
        <w:t>a</w:t>
      </w:r>
      <w:r>
        <w:rPr>
          <w:sz w:val="28"/>
          <w:szCs w:val="28"/>
        </w:rPr>
        <w:t xml:space="preserve"> </w:t>
      </w:r>
      <w:bookmarkEnd w:id="0"/>
      <w:r>
        <w:rPr>
          <w:bCs w:val="1"/>
          <w:sz w:val="28"/>
          <w:szCs w:val="28"/>
        </w:rPr>
        <w:t>202</w:t>
      </w:r>
      <w:r>
        <w:rPr>
          <w:bCs w:val="1"/>
          <w:sz w:val="28"/>
          <w:szCs w:val="28"/>
          <w:lang w:val="hu-HU"/>
        </w:rPr>
        <w:t>6</w:t>
      </w:r>
      <w:r>
        <w:rPr>
          <w:bCs w:val="1"/>
          <w:sz w:val="28"/>
          <w:szCs w:val="28"/>
        </w:rPr>
        <w:t xml:space="preserve">. évi költségvetéséről szóló </w:t>
      </w:r>
      <w:r>
        <w:rPr>
          <w:bCs w:val="1"/>
          <w:sz w:val="28"/>
          <w:szCs w:val="28"/>
          <w:lang w:val="hu-HU"/>
        </w:rPr>
        <w:t>2</w:t>
      </w:r>
      <w:r>
        <w:rPr>
          <w:bCs w:val="1"/>
          <w:sz w:val="28"/>
          <w:szCs w:val="28"/>
        </w:rPr>
        <w:t>/202</w:t>
      </w:r>
      <w:r>
        <w:rPr>
          <w:bCs w:val="1"/>
          <w:sz w:val="28"/>
          <w:szCs w:val="28"/>
          <w:lang w:val="hu-HU"/>
        </w:rPr>
        <w:t>6</w:t>
      </w:r>
      <w:r>
        <w:rPr>
          <w:bCs w:val="1"/>
          <w:sz w:val="28"/>
          <w:szCs w:val="28"/>
        </w:rPr>
        <w:t>. (</w:t>
      </w:r>
      <w:r>
        <w:rPr>
          <w:bCs w:val="1"/>
          <w:sz w:val="28"/>
          <w:szCs w:val="28"/>
          <w:lang w:val="hu-HU"/>
        </w:rPr>
        <w:t>I</w:t>
      </w:r>
      <w:r>
        <w:rPr>
          <w:bCs w:val="1"/>
          <w:sz w:val="28"/>
          <w:szCs w:val="28"/>
        </w:rPr>
        <w:t xml:space="preserve">I. </w:t>
      </w:r>
      <w:r>
        <w:rPr>
          <w:bCs w:val="1"/>
          <w:sz w:val="28"/>
          <w:szCs w:val="28"/>
          <w:lang w:val="hu-HU"/>
        </w:rPr>
        <w:t>13</w:t>
      </w:r>
      <w:r>
        <w:rPr>
          <w:bCs w:val="1"/>
          <w:sz w:val="28"/>
          <w:szCs w:val="28"/>
        </w:rPr>
        <w:t>.)</w:t>
      </w:r>
      <w:r>
        <w:rPr>
          <w:sz w:val="28"/>
          <w:szCs w:val="28"/>
        </w:rPr>
        <w:t xml:space="preserve"> önkormányzati rendelet</w:t>
      </w:r>
      <w:r>
        <w:rPr>
          <w:sz w:val="28"/>
          <w:szCs w:val="28"/>
          <w:lang w:val="hu-HU"/>
        </w:rPr>
        <w:t xml:space="preserve"> (a továbbiakban: Költségvetési Rendelet) módosítása </w:t>
      </w:r>
      <w:r>
        <w:rPr>
          <w:sz w:val="28"/>
          <w:szCs w:val="28"/>
        </w:rPr>
        <w:t xml:space="preserve">az államháztartásról szóló </w:t>
      </w:r>
      <w:bookmarkStart w:id="1" w:name="_GoBack"/>
      <w:bookmarkEnd w:id="1"/>
      <w:r>
        <w:rPr>
          <w:sz w:val="28"/>
          <w:szCs w:val="28"/>
        </w:rPr>
        <w:t xml:space="preserve">2011. évi CXCV. törvény </w:t>
      </w:r>
      <w:r>
        <w:rPr>
          <w:sz w:val="28"/>
          <w:szCs w:val="28"/>
          <w:lang w:val="hu-HU"/>
        </w:rPr>
        <w:t xml:space="preserve">(a továbbiakban: Áht.) </w:t>
      </w:r>
      <w:r>
        <w:rPr>
          <w:sz w:val="28"/>
          <w:szCs w:val="28"/>
        </w:rPr>
        <w:t xml:space="preserve">34. § </w:t>
      </w:r>
      <w:r>
        <w:rPr>
          <w:sz w:val="28"/>
          <w:szCs w:val="28"/>
          <w:lang w:val="hu-HU"/>
        </w:rPr>
        <w:t>alapján történhet.</w:t>
      </w:r>
    </w:p>
    <w:p>
      <w:pPr>
        <w:pStyle w:val="P13"/>
        <w:tabs>
          <w:tab w:val="left" w:pos="284" w:leader="none"/>
        </w:tabs>
        <w:rPr>
          <w:sz w:val="28"/>
          <w:szCs w:val="28"/>
          <w:lang w:val="hu-HU"/>
        </w:rPr>
      </w:pPr>
    </w:p>
    <w:p>
      <w:pPr>
        <w:pStyle w:val="P13"/>
        <w:tabs>
          <w:tab w:val="left" w:pos="284" w:leader="none"/>
        </w:tabs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Az Áht. 34, § (4) bekezdés értelmében a képviselő-testület az előirányzat-módosítás, előirányzat-átcsoportosítás átvezetéseként – az első negyedév kivételével – negyedévenként, a döntése szerinti időpontokban, de legkésőbb az éves költségvetési beszámoló elkészítésének határidejéig, december 31-i hatállyal módosítja a költségvetési rendeletét.</w:t>
      </w:r>
    </w:p>
    <w:p>
      <w:pPr>
        <w:pStyle w:val="P13"/>
        <w:tabs>
          <w:tab w:val="left" w:pos="284" w:leader="none"/>
        </w:tabs>
        <w:rPr>
          <w:sz w:val="28"/>
          <w:szCs w:val="28"/>
          <w:lang w:val="hu-HU"/>
        </w:rPr>
      </w:pPr>
    </w:p>
    <w:p>
      <w:pPr>
        <w:pStyle w:val="P13"/>
        <w:tabs>
          <w:tab w:val="left" w:pos="284" w:leader="none"/>
        </w:tabs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Jelen javaslat az előirányzat-módosítás tárgyában megtartott egyeztetések eredményének átvezetését tartalmazza.</w:t>
      </w:r>
    </w:p>
    <w:p>
      <w:pPr>
        <w:pStyle w:val="P13"/>
        <w:tabs>
          <w:tab w:val="left" w:pos="284" w:leader="none"/>
        </w:tabs>
        <w:rPr>
          <w:sz w:val="28"/>
          <w:szCs w:val="28"/>
          <w:lang w:val="hu-HU"/>
        </w:rPr>
      </w:pPr>
    </w:p>
    <w:p>
      <w:pPr>
        <w:pStyle w:val="P13"/>
        <w:tabs>
          <w:tab w:val="left" w:pos="284" w:leader="none"/>
        </w:tabs>
        <w:rPr>
          <w:sz w:val="28"/>
          <w:szCs w:val="28"/>
        </w:rPr>
      </w:pPr>
      <w:r>
        <w:rPr>
          <w:sz w:val="28"/>
          <w:szCs w:val="28"/>
        </w:rPr>
        <w:t>A Képviselő-testület által elfogadott, Budapest Főváros XIV. Kerület Zugló Önkormányzatának 202</w:t>
      </w:r>
      <w:r>
        <w:rPr>
          <w:sz w:val="28"/>
          <w:szCs w:val="28"/>
          <w:lang w:val="hu-HU"/>
        </w:rPr>
        <w:t>6</w:t>
      </w:r>
      <w:r>
        <w:rPr>
          <w:sz w:val="28"/>
          <w:szCs w:val="28"/>
        </w:rPr>
        <w:t>. évi költségvetését érintő módosítási javaslatomat az alábbiakkal indoklom:</w:t>
      </w:r>
    </w:p>
    <w:p>
      <w:pPr>
        <w:pStyle w:val="P13"/>
        <w:tabs>
          <w:tab w:val="left" w:pos="426" w:leader="none"/>
        </w:tabs>
        <w:suppressAutoHyphens w:val="1"/>
        <w:rPr>
          <w:sz w:val="28"/>
          <w:szCs w:val="28"/>
          <w:lang w:val="hu-HU"/>
        </w:rPr>
      </w:pPr>
    </w:p>
    <w:p>
      <w:pPr>
        <w:pStyle w:val="P13"/>
        <w:tabs>
          <w:tab w:val="left" w:pos="426" w:leader="none"/>
        </w:tabs>
        <w:suppressAutoHyphens w:val="1"/>
        <w:rPr>
          <w:sz w:val="28"/>
          <w:szCs w:val="28"/>
          <w:lang w:val="hu-HU"/>
        </w:rPr>
      </w:pPr>
    </w:p>
    <w:p>
      <w:pPr>
        <w:pStyle w:val="P13"/>
        <w:numPr>
          <w:ilvl w:val="0"/>
          <w:numId w:val="3"/>
        </w:numPr>
        <w:suppressAutoHyphens w:val="1"/>
        <w:ind w:hanging="426" w:left="426"/>
        <w:jc w:val="left"/>
        <w:rPr>
          <w:b w:val="1"/>
          <w:sz w:val="28"/>
          <w:szCs w:val="28"/>
          <w:u w:val="single"/>
        </w:rPr>
      </w:pPr>
      <w:r>
        <w:rPr>
          <w:b w:val="1"/>
          <w:sz w:val="28"/>
          <w:szCs w:val="28"/>
          <w:u w:val="single"/>
        </w:rPr>
        <w:t>Létszám</w:t>
      </w:r>
      <w:r>
        <w:rPr>
          <w:b w:val="1"/>
          <w:sz w:val="28"/>
          <w:szCs w:val="28"/>
          <w:u w:val="single"/>
          <w:lang w:val="hu-HU"/>
        </w:rPr>
        <w:t>változás</w:t>
      </w:r>
      <w:r>
        <w:rPr>
          <w:b w:val="1"/>
          <w:sz w:val="28"/>
          <w:szCs w:val="28"/>
          <w:lang w:val="hu-HU"/>
        </w:rPr>
        <w:tab/>
      </w:r>
    </w:p>
    <w:p>
      <w:pPr>
        <w:pStyle w:val="P13"/>
        <w:tabs>
          <w:tab w:val="left" w:pos="426" w:leader="none"/>
        </w:tabs>
        <w:suppressAutoHyphens w:val="1"/>
        <w:rPr>
          <w:sz w:val="28"/>
          <w:szCs w:val="28"/>
        </w:rPr>
      </w:pPr>
    </w:p>
    <w:p>
      <w:pPr>
        <w:pStyle w:val="P13"/>
        <w:tabs>
          <w:tab w:val="left" w:pos="426" w:leader="none"/>
        </w:tabs>
        <w:suppressAutoHyphens w:val="1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Létszámváltozás nem történt.</w:t>
      </w:r>
    </w:p>
    <w:p>
      <w:pPr>
        <w:pStyle w:val="P13"/>
        <w:tabs>
          <w:tab w:val="left" w:pos="426" w:leader="none"/>
        </w:tabs>
        <w:suppressAutoHyphens w:val="1"/>
        <w:rPr>
          <w:sz w:val="28"/>
          <w:szCs w:val="28"/>
          <w:lang w:val="hu-HU"/>
        </w:rPr>
      </w:pPr>
    </w:p>
    <w:p>
      <w:pPr>
        <w:pStyle w:val="P13"/>
        <w:tabs>
          <w:tab w:val="left" w:pos="426" w:leader="none"/>
        </w:tabs>
        <w:suppressAutoHyphens w:val="1"/>
        <w:rPr>
          <w:sz w:val="28"/>
          <w:szCs w:val="28"/>
          <w:lang w:val="hu-HU"/>
        </w:rPr>
      </w:pPr>
    </w:p>
    <w:p>
      <w:pPr>
        <w:numPr>
          <w:ilvl w:val="0"/>
          <w:numId w:val="3"/>
        </w:numPr>
        <w:ind w:hanging="426" w:left="426"/>
        <w:jc w:val="both"/>
        <w:rPr>
          <w:b w:val="1"/>
          <w:sz w:val="28"/>
          <w:szCs w:val="28"/>
          <w:u w:val="single"/>
        </w:rPr>
      </w:pPr>
      <w:r>
        <w:rPr>
          <w:b w:val="1"/>
          <w:sz w:val="28"/>
          <w:szCs w:val="28"/>
          <w:u w:val="single"/>
        </w:rPr>
        <w:t>Számszaki módosítások</w:t>
      </w:r>
    </w:p>
    <w:p>
      <w:pPr>
        <w:ind w:left="426"/>
        <w:jc w:val="both"/>
        <w:rPr>
          <w:b w:val="1"/>
          <w:sz w:val="28"/>
          <w:szCs w:val="28"/>
          <w:u w:val="single"/>
        </w:rPr>
      </w:pPr>
    </w:p>
    <w:p>
      <w:pPr>
        <w:pStyle w:val="P127"/>
        <w:numPr>
          <w:ilvl w:val="0"/>
          <w:numId w:val="26"/>
        </w:numPr>
        <w:jc w:val="both"/>
        <w:rPr>
          <w:b w:val="1"/>
          <w:sz w:val="28"/>
          <w:szCs w:val="28"/>
          <w:u w:val="single"/>
        </w:rPr>
      </w:pPr>
      <w:r>
        <w:rPr>
          <w:sz w:val="28"/>
          <w:szCs w:val="28"/>
        </w:rPr>
        <w:t>Közszolgáltatási keretek növelése</w:t>
      </w:r>
    </w:p>
    <w:p>
      <w:pPr>
        <w:pStyle w:val="P127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Polgármesteri egyeztetés a 2026. évi fejlesztésekről </w:t>
      </w:r>
    </w:p>
    <w:p>
      <w:pPr>
        <w:jc w:val="both"/>
        <w:rPr>
          <w:b w:val="1"/>
          <w:sz w:val="28"/>
          <w:szCs w:val="28"/>
          <w:u w:val="single"/>
        </w:rPr>
      </w:pPr>
    </w:p>
    <w:p>
      <w:pPr>
        <w:numPr>
          <w:ilvl w:val="0"/>
          <w:numId w:val="3"/>
        </w:numPr>
        <w:ind w:hanging="426" w:left="426"/>
        <w:jc w:val="both"/>
        <w:rPr>
          <w:sz w:val="28"/>
          <w:szCs w:val="28"/>
          <w:u w:val="single"/>
        </w:rPr>
      </w:pPr>
      <w:r>
        <w:rPr>
          <w:b w:val="1"/>
          <w:sz w:val="28"/>
          <w:szCs w:val="28"/>
          <w:u w:val="single"/>
        </w:rPr>
        <w:t xml:space="preserve">Beszámoló az átruházott hatáskörben hozott döntésekről </w:t>
      </w:r>
    </w:p>
    <w:p>
      <w:pPr>
        <w:ind w:left="426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 Költségvetési Rendelet 16. §-a szerint: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„Ha a polgármester vagy a bizottság a 14-15. §-ban átruházott hatáskörben döntést hoz, vagy ha év közben az Országgyűlés, a Kormány, a költségvetési fejezet vagy elkülönített állami pénzalap az önkormányzat számára pótelőirányzatot, kötött felhasználási célú támogatást biztosít, a polgármester azt köteles negyedévente – az első negyedév kivételével, legkésőbb a 2025. évi költségvetési beszámoló elkészítésének a határidejéig, december 31-ei hatállyal – rendeletmódosítás keretében a Képviselő-testület elé terjeszteni. Ezzel a kötelezett az átruházott hatáskörben hozott döntéséről történő beszámolási kötelezettségének eleget tesz.”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Jelen előterjesztés 1. melléklete intézményenként tesz eleget a hivatkozott beszámolási kötelezettségnek.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pStyle w:val="P127"/>
        <w:numPr>
          <w:ilvl w:val="0"/>
          <w:numId w:val="3"/>
        </w:numPr>
        <w:ind w:hanging="426" w:left="426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 w:val="1"/>
          <w:sz w:val="28"/>
          <w:szCs w:val="28"/>
          <w:u w:val="single"/>
        </w:rPr>
        <w:t xml:space="preserve">A számszaki változások bemutatása </w:t>
      </w:r>
      <w:r>
        <w:rPr>
          <w:rFonts w:ascii="Times New Roman" w:hAnsi="Times New Roman"/>
          <w:sz w:val="28"/>
          <w:szCs w:val="28"/>
          <w:u w:val="single"/>
        </w:rPr>
        <w:t>(irányító szervi támogatással konszolidálva):</w:t>
      </w:r>
    </w:p>
    <w:p>
      <w:pPr>
        <w:rPr>
          <w:b w:val="1"/>
          <w:sz w:val="28"/>
          <w:szCs w:val="28"/>
        </w:rPr>
      </w:pPr>
    </w:p>
    <w:p>
      <w:pPr>
        <w:rPr>
          <w:b w:val="1"/>
          <w:sz w:val="28"/>
          <w:szCs w:val="28"/>
        </w:rPr>
      </w:pPr>
      <w:r>
        <w:rPr>
          <w:b w:val="1"/>
          <w:sz w:val="28"/>
          <w:szCs w:val="28"/>
        </w:rPr>
        <w:t>BEVÉTELEK ÖSSZESEN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 xml:space="preserve"> </w:t>
        <w:tab/>
        <w:t xml:space="preserve">  </w:t>
        <w:tab/>
        <w:tab/>
        <w:tab/>
        <w:tab/>
        <w:tab/>
        <w:tab/>
        <w:tab/>
        <w:tab/>
        <w:t xml:space="preserve">         adatok eFt-ban</w:t>
      </w:r>
    </w:p>
    <w:tbl>
      <w:tblPr>
        <w:tblW w:w="5554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1896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645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13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 xml:space="preserve">2026. évi módosított </w:t>
            </w:r>
          </w:p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előirányzat</w:t>
            </w:r>
          </w:p>
        </w:tc>
      </w:tr>
      <w:tr>
        <w:trPr>
          <w:trHeight w:hRule="atLeast" w:val="548"/>
          <w:jc w:val="center"/>
        </w:trPr>
        <w:tc>
          <w:tcPr>
            <w:tcW w:w="1896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60 825 559</w:t>
            </w:r>
          </w:p>
        </w:tc>
        <w:tc>
          <w:tcPr>
            <w:tcW w:w="1645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630 000</w:t>
            </w:r>
          </w:p>
        </w:tc>
        <w:tc>
          <w:tcPr>
            <w:tcW w:w="2013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61 455 559</w:t>
            </w:r>
          </w:p>
        </w:tc>
      </w:tr>
    </w:tbl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Működési célú átvett pénzeszközök</w:t>
      </w:r>
      <w:r>
        <w:rPr>
          <w:sz w:val="28"/>
          <w:szCs w:val="28"/>
        </w:rPr>
        <w:tab/>
        <w:tab/>
        <w:tab/>
        <w:tab/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 xml:space="preserve">  </w:t>
        <w:tab/>
        <w:tab/>
        <w:tab/>
        <w:tab/>
        <w:t xml:space="preserve">      </w:t>
        <w:tab/>
        <w:tab/>
        <w:tab/>
        <w:tab/>
        <w:tab/>
        <w:tab/>
        <w:tab/>
        <w:t xml:space="preserve"> adatok eFt-ban</w:t>
      </w:r>
    </w:p>
    <w:tbl>
      <w:tblPr>
        <w:tblW w:w="5765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30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3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2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30" w:type="dxa"/>
            <w:vAlign w:val="bottom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606 958</w:t>
            </w:r>
          </w:p>
        </w:tc>
        <w:tc>
          <w:tcPr>
            <w:tcW w:w="1703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630 000</w:t>
            </w:r>
          </w:p>
        </w:tc>
        <w:tc>
          <w:tcPr>
            <w:tcW w:w="2032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1 236 958</w:t>
            </w:r>
          </w:p>
        </w:tc>
      </w:tr>
    </w:tbl>
    <w:p>
      <w:pPr>
        <w:ind w:left="426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 változás a következő tételekből tevődik össze:</w:t>
      </w:r>
    </w:p>
    <w:p>
      <w:pPr>
        <w:jc w:val="both"/>
        <w:rPr>
          <w:sz w:val="28"/>
          <w:szCs w:val="28"/>
        </w:rPr>
      </w:pPr>
    </w:p>
    <w:p>
      <w:pPr>
        <w:pStyle w:val="P127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Zuglói Zrt. 2025. évi működési támogatás elszámolás alapján visszafizetés: 200 000 ezer Ft,</w:t>
      </w:r>
    </w:p>
    <w:p>
      <w:pPr>
        <w:pStyle w:val="P127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Zuglói Zrt. közérdekű kötelezettségvállalásra pénzeszköz átvétel 430 000 ezer Ft</w:t>
      </w:r>
    </w:p>
    <w:p>
      <w:pPr>
        <w:jc w:val="both"/>
        <w:rPr>
          <w:b w:val="1"/>
          <w:sz w:val="28"/>
          <w:szCs w:val="28"/>
        </w:rPr>
      </w:pPr>
      <w:r>
        <w:rPr>
          <w:b w:val="1"/>
          <w:sz w:val="28"/>
          <w:szCs w:val="28"/>
        </w:rPr>
        <w:tab/>
      </w:r>
    </w:p>
    <w:p>
      <w:pPr>
        <w:tabs>
          <w:tab w:val="right" w:pos="13608" w:leader="none"/>
        </w:tabs>
        <w:ind w:left="567"/>
        <w:rPr>
          <w:i w:val="1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b w:val="1"/>
          <w:sz w:val="28"/>
          <w:szCs w:val="28"/>
        </w:rPr>
        <w:t>KIADÁSOK ÖSSZESEN</w:t>
      </w:r>
      <w:r>
        <w:rPr>
          <w:sz w:val="28"/>
          <w:szCs w:val="28"/>
        </w:rPr>
        <w:tab/>
        <w:tab/>
        <w:tab/>
        <w:tab/>
        <w:tab/>
        <w:tab/>
        <w:tab/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 xml:space="preserve">       </w:t>
        <w:tab/>
        <w:tab/>
        <w:tab/>
        <w:t xml:space="preserve">      </w:t>
        <w:tab/>
        <w:tab/>
        <w:tab/>
        <w:tab/>
        <w:tab/>
        <w:tab/>
        <w:t xml:space="preserve">           adatok eFt-ban</w:t>
      </w:r>
    </w:p>
    <w:tbl>
      <w:tblPr>
        <w:tblW w:w="5765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30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3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2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30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60 825 559</w:t>
            </w:r>
          </w:p>
        </w:tc>
        <w:tc>
          <w:tcPr>
            <w:tcW w:w="1703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630 000</w:t>
            </w:r>
          </w:p>
        </w:tc>
        <w:tc>
          <w:tcPr>
            <w:tcW w:w="2032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61 455 559</w:t>
            </w:r>
          </w:p>
        </w:tc>
      </w:tr>
    </w:tbl>
    <w:p>
      <w:pPr>
        <w:jc w:val="both"/>
        <w:rPr>
          <w:sz w:val="28"/>
          <w:szCs w:val="28"/>
          <w:u w:val="single"/>
        </w:rPr>
      </w:pPr>
    </w:p>
    <w:p>
      <w:pPr>
        <w:tabs>
          <w:tab w:val="right" w:pos="9072" w:leader="none"/>
        </w:tabs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Dologi kiadások</w:t>
      </w:r>
    </w:p>
    <w:p>
      <w:pPr>
        <w:jc w:val="both"/>
        <w:rPr>
          <w:sz w:val="28"/>
          <w:szCs w:val="28"/>
          <w:u w:val="single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 adatok eFt-ban</w:t>
      </w:r>
    </w:p>
    <w:tbl>
      <w:tblPr>
        <w:tblW w:w="5765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30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3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2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30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14 055 156</w:t>
            </w:r>
          </w:p>
        </w:tc>
        <w:tc>
          <w:tcPr>
            <w:tcW w:w="1703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966 099</w:t>
            </w:r>
          </w:p>
        </w:tc>
        <w:tc>
          <w:tcPr>
            <w:tcW w:w="2032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15 021 255</w:t>
            </w:r>
          </w:p>
        </w:tc>
      </w:tr>
    </w:tbl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 változás a következő tételekből tevődik össze:</w:t>
      </w:r>
    </w:p>
    <w:p>
      <w:pPr>
        <w:jc w:val="both"/>
        <w:rPr>
          <w:sz w:val="28"/>
          <w:szCs w:val="28"/>
        </w:rPr>
      </w:pPr>
    </w:p>
    <w:p>
      <w:pPr>
        <w:pStyle w:val="P127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Zuglói Zrt. közszolgáltatási keret növelése</w:t>
      </w:r>
    </w:p>
    <w:p>
      <w:pPr>
        <w:jc w:val="both"/>
        <w:rPr>
          <w:b w:val="1"/>
          <w:sz w:val="28"/>
          <w:szCs w:val="28"/>
        </w:rPr>
      </w:pPr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Elvonások és befizetések</w:t>
      </w:r>
    </w:p>
    <w:p>
      <w:pPr>
        <w:jc w:val="both"/>
        <w:rPr>
          <w:sz w:val="28"/>
          <w:szCs w:val="28"/>
        </w:rPr>
      </w:pPr>
    </w:p>
    <w:p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  <w:tab/>
        <w:t xml:space="preserve">           adatok eFt-ban</w:t>
      </w:r>
    </w:p>
    <w:tbl>
      <w:tblPr>
        <w:tblW w:w="5763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28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1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4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28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6 901 273</w:t>
            </w:r>
          </w:p>
        </w:tc>
        <w:tc>
          <w:tcPr>
            <w:tcW w:w="1701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-201 000</w:t>
            </w:r>
          </w:p>
        </w:tc>
        <w:tc>
          <w:tcPr>
            <w:tcW w:w="2034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6 700 273</w:t>
            </w:r>
          </w:p>
        </w:tc>
      </w:tr>
    </w:tbl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 változás a következő tételekből tevődik össze:</w:t>
      </w:r>
    </w:p>
    <w:p>
      <w:pPr>
        <w:jc w:val="both"/>
        <w:rPr>
          <w:sz w:val="28"/>
          <w:szCs w:val="28"/>
        </w:rPr>
      </w:pPr>
    </w:p>
    <w:p>
      <w:pPr>
        <w:pStyle w:val="P127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Előző évi támogatások elszámolása és visszafizetése 201 000 ezer Ft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  <w:u w:val="single"/>
        </w:rPr>
      </w:pPr>
      <w:bookmarkStart w:id="2" w:name="_Hlk180133504"/>
      <w:r>
        <w:rPr>
          <w:sz w:val="28"/>
          <w:szCs w:val="28"/>
          <w:u w:val="single"/>
        </w:rPr>
        <w:t>Támogatás nyújtása államháztartáson kívülre</w:t>
      </w:r>
    </w:p>
    <w:p>
      <w:pPr>
        <w:jc w:val="both"/>
        <w:rPr>
          <w:sz w:val="28"/>
          <w:szCs w:val="28"/>
          <w:u w:val="single"/>
        </w:rPr>
      </w:pPr>
      <w:bookmarkEnd w:id="2"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 adatok eFt-ban</w:t>
      </w:r>
    </w:p>
    <w:tbl>
      <w:tblPr>
        <w:tblW w:w="5763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28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1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4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28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6 019 726</w:t>
            </w:r>
          </w:p>
        </w:tc>
        <w:tc>
          <w:tcPr>
            <w:tcW w:w="1701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1 033 901</w:t>
            </w:r>
          </w:p>
        </w:tc>
        <w:tc>
          <w:tcPr>
            <w:tcW w:w="2034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7 053 627</w:t>
            </w:r>
          </w:p>
        </w:tc>
      </w:tr>
    </w:tbl>
    <w:p>
      <w:pPr>
        <w:jc w:val="both"/>
        <w:rPr>
          <w:b w:val="1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 változás a következő tételekből tevődik össze:</w:t>
      </w:r>
    </w:p>
    <w:p>
      <w:pPr>
        <w:jc w:val="both"/>
        <w:rPr>
          <w:sz w:val="28"/>
          <w:szCs w:val="28"/>
        </w:rPr>
      </w:pPr>
    </w:p>
    <w:p>
      <w:pPr>
        <w:pStyle w:val="P127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Zuglói Zrt. közszolgáltatási keret növelése 1 033 901 ezer Ft</w:t>
      </w:r>
    </w:p>
    <w:p>
      <w:pPr>
        <w:jc w:val="both"/>
        <w:rPr>
          <w:sz w:val="28"/>
          <w:szCs w:val="28"/>
          <w:u w:val="single"/>
        </w:rPr>
      </w:pPr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Tartalékok</w:t>
      </w:r>
    </w:p>
    <w:p>
      <w:pPr>
        <w:jc w:val="both"/>
        <w:rPr>
          <w:sz w:val="28"/>
          <w:szCs w:val="28"/>
          <w:u w:val="single"/>
        </w:rPr>
      </w:pPr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 adatok eFt-ban</w:t>
      </w:r>
    </w:p>
    <w:tbl>
      <w:tblPr>
        <w:tblW w:w="5763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28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1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4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28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1 626 732</w:t>
            </w:r>
          </w:p>
        </w:tc>
        <w:tc>
          <w:tcPr>
            <w:tcW w:w="1701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-115 000</w:t>
            </w:r>
          </w:p>
        </w:tc>
        <w:tc>
          <w:tcPr>
            <w:tcW w:w="2034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1 571 732</w:t>
            </w:r>
          </w:p>
        </w:tc>
      </w:tr>
    </w:tbl>
    <w:p>
      <w:pPr>
        <w:jc w:val="both"/>
        <w:rPr>
          <w:sz w:val="28"/>
          <w:szCs w:val="28"/>
          <w:u w:val="single"/>
        </w:rPr>
      </w:pPr>
    </w:p>
    <w:p>
      <w:pPr>
        <w:jc w:val="both"/>
        <w:rPr>
          <w:b w:val="1"/>
          <w:sz w:val="28"/>
          <w:szCs w:val="28"/>
        </w:rPr>
      </w:pPr>
      <w:r>
        <w:rPr>
          <w:b w:val="1"/>
          <w:sz w:val="28"/>
          <w:szCs w:val="28"/>
        </w:rPr>
        <w:tab/>
      </w:r>
    </w:p>
    <w:p>
      <w:pPr>
        <w:jc w:val="both"/>
        <w:rPr>
          <w:b w:val="1"/>
          <w:sz w:val="28"/>
          <w:szCs w:val="28"/>
        </w:rPr>
      </w:pPr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Beruházások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</w:t>
        <w:tab/>
        <w:tab/>
        <w:tab/>
        <w:tab/>
        <w:tab/>
        <w:tab/>
        <w:tab/>
        <w:t xml:space="preserve"> adatok eFt-ban</w:t>
      </w:r>
    </w:p>
    <w:tbl>
      <w:tblPr>
        <w:tblW w:w="5763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28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1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4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28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1 468 027</w:t>
            </w:r>
          </w:p>
        </w:tc>
        <w:tc>
          <w:tcPr>
            <w:tcW w:w="1701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123 090</w:t>
            </w:r>
          </w:p>
        </w:tc>
        <w:tc>
          <w:tcPr>
            <w:tcW w:w="2034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1 591 117</w:t>
            </w:r>
          </w:p>
        </w:tc>
      </w:tr>
    </w:tbl>
    <w:p>
      <w:pPr>
        <w:jc w:val="both"/>
        <w:rPr>
          <w:b w:val="1"/>
          <w:sz w:val="28"/>
          <w:szCs w:val="28"/>
        </w:rPr>
      </w:pPr>
    </w:p>
    <w:p>
      <w:pPr>
        <w:jc w:val="both"/>
        <w:rPr>
          <w:b w:val="1"/>
          <w:sz w:val="28"/>
          <w:szCs w:val="28"/>
        </w:rPr>
      </w:pPr>
    </w:p>
    <w:p>
      <w:pPr>
        <w:tabs>
          <w:tab w:val="right" w:pos="13608" w:leader="none"/>
        </w:tabs>
        <w:ind w:left="567"/>
        <w:rPr>
          <w:sz w:val="28"/>
          <w:szCs w:val="28"/>
        </w:rPr>
      </w:pPr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Felújítások</w:t>
      </w:r>
    </w:p>
    <w:p>
      <w:pPr>
        <w:jc w:val="both"/>
        <w:rPr>
          <w:sz w:val="28"/>
          <w:szCs w:val="28"/>
          <w:u w:val="single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          adatok eFt-ban</w:t>
      </w:r>
    </w:p>
    <w:tbl>
      <w:tblPr>
        <w:tblW w:w="5763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584"/>
          <w:jc w:val="center"/>
        </w:trPr>
        <w:tc>
          <w:tcPr>
            <w:tcW w:w="2028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eredeti előirányzat</w:t>
            </w:r>
          </w:p>
        </w:tc>
        <w:tc>
          <w:tcPr>
            <w:tcW w:w="1701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I. számú módosítás</w:t>
            </w:r>
          </w:p>
        </w:tc>
        <w:tc>
          <w:tcPr>
            <w:tcW w:w="2034" w:type="dxa"/>
          </w:tcPr>
          <w:p>
            <w:pPr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2026. évi módosított előirányzat</w:t>
            </w:r>
          </w:p>
        </w:tc>
      </w:tr>
      <w:tr>
        <w:trPr>
          <w:trHeight w:hRule="atLeast" w:val="548"/>
          <w:jc w:val="center"/>
        </w:trPr>
        <w:tc>
          <w:tcPr>
            <w:tcW w:w="2028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6 308 819</w:t>
            </w:r>
          </w:p>
        </w:tc>
        <w:tc>
          <w:tcPr>
            <w:tcW w:w="1701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-1 177 090</w:t>
            </w:r>
          </w:p>
        </w:tc>
        <w:tc>
          <w:tcPr>
            <w:tcW w:w="2034" w:type="dxa"/>
          </w:tcPr>
          <w:p>
            <w:pPr>
              <w:spacing w:before="240" w:beforeAutospacing="0" w:afterAutospacing="0"/>
              <w:jc w:val="center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</w:rPr>
              <w:t>5 131 729</w:t>
            </w:r>
          </w:p>
        </w:tc>
      </w:tr>
    </w:tbl>
    <w:p>
      <w:pPr>
        <w:jc w:val="both"/>
        <w:rPr>
          <w:b w:val="1"/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4" w:space="1" w:shadow="0" w:frame="0" w:color="auto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76" w:beforeAutospacing="0" w:afterAutospacing="0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</w:rPr>
        <w:t>II. Vélemények</w:t>
      </w:r>
    </w:p>
    <w:p>
      <w:pPr>
        <w:rPr>
          <w:sz w:val="28"/>
          <w:szCs w:val="28"/>
        </w:rPr>
      </w:pPr>
    </w:p>
    <w:p>
      <w:pPr>
        <w:pStyle w:val="P13"/>
        <w:tabs>
          <w:tab w:val="left" w:pos="284" w:leader="none"/>
        </w:tabs>
        <w:rPr>
          <w:sz w:val="28"/>
          <w:szCs w:val="28"/>
        </w:rPr>
      </w:pPr>
      <w:r>
        <w:rPr>
          <w:sz w:val="28"/>
          <w:szCs w:val="28"/>
          <w:lang w:val="hu-HU"/>
        </w:rPr>
        <w:t>A Költségvetési Rendelet</w:t>
      </w:r>
      <w:r>
        <w:rPr>
          <w:sz w:val="28"/>
          <w:szCs w:val="28"/>
        </w:rPr>
        <w:t xml:space="preserve"> módosítása szükséges az </w:t>
      </w:r>
      <w:r>
        <w:rPr>
          <w:sz w:val="28"/>
          <w:szCs w:val="28"/>
          <w:lang w:val="hu-HU"/>
        </w:rPr>
        <w:t>Áht.</w:t>
      </w:r>
      <w:r>
        <w:rPr>
          <w:sz w:val="28"/>
          <w:szCs w:val="28"/>
        </w:rPr>
        <w:t xml:space="preserve"> 34. § (4) bekezdése alapján.</w:t>
      </w:r>
    </w:p>
    <w:p>
      <w:pPr>
        <w:pStyle w:val="P13"/>
        <w:tabs>
          <w:tab w:val="left" w:pos="284" w:leader="none"/>
        </w:tabs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Az Áht. 34. § (1) bekezdése alapján a helyi önkormányzat költségvetési rendeletében megjelenő bevételek és kiadások módosításáról, a kiadási előirányzatok közötti átcsoportosításról a (2) és (3) bekezdésben meghatározott kivétellel a képviselő-testület dönt.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Az Áht. 34. § (2)-(4) bekezdése szerint a helyi önkormányzat költségvetési rendelete a polgármester számára lehetővé teheti a helyi önkormányzat bevételeinek és kiadásainak módosítását és a kiadási előirányzatok közötti átcsoportosítást. A helyi önkormányzati költségvetési szerv bevételi előirányzatai és kiadási előirányzatai a Kormány rendeletében meghatározott esetben a helyi önkormányzati költségvetési szerv saját hatáskörében módosíthatók, a kiadási előirányzatok egymás között átcsoportosíthatók. A képviselő-testület a (2) és (3) bekezdés szerinti előirányzat-módosítás, előirányzat-átcsoportosítás átvezetéseként - az első negyedév kivételével - negyedévenként, a döntése szerinti időpontokban, de legkésőbb az éves költségvetési beszámoló elkészítésének a határidejéig, december 31-i hatállyal módosítja a költségvetési rendeletét. Ha év közben az Országgyűlés a helyi önkormányzatot érintő módon a 14. § (3) bekezdése szerinti fejezetben meghatározott támogatások költségvetési kiadási előirányzatait zárolja, azokat csökkenti, törli, az intézkedés kihirdetését követően haladéktalanul a képviselő-testület elé kell terjeszteni a költségvetési rendelet módosítását.</w:t>
      </w:r>
    </w:p>
    <w:p>
      <w:pPr>
        <w:pStyle w:val="P13"/>
        <w:tabs>
          <w:tab w:val="left" w:pos="284" w:leader="none"/>
        </w:tabs>
        <w:rPr>
          <w:sz w:val="28"/>
          <w:szCs w:val="28"/>
        </w:rPr>
      </w:pPr>
    </w:p>
    <w:p>
      <w:pPr>
        <w:pStyle w:val="P13"/>
        <w:rPr>
          <w:sz w:val="28"/>
          <w:szCs w:val="28"/>
        </w:rPr>
      </w:pPr>
      <w:r>
        <w:rPr>
          <w:sz w:val="28"/>
          <w:szCs w:val="28"/>
        </w:rPr>
        <w:t xml:space="preserve">A helyi önkormányzat a költségvetését, valamint az irányítása alá tartozó költségvetési szervek előirányzatait rendeletének </w:t>
      </w:r>
      <w:r>
        <w:rPr>
          <w:sz w:val="28"/>
          <w:szCs w:val="28"/>
          <w:lang w:val="hu-HU"/>
        </w:rPr>
        <w:t xml:space="preserve">a </w:t>
      </w:r>
      <w:r>
        <w:rPr>
          <w:sz w:val="28"/>
          <w:szCs w:val="28"/>
        </w:rPr>
        <w:t>módosításával megváltoztathatja.</w:t>
      </w:r>
    </w:p>
    <w:p/>
    <w:p/>
    <w:p>
      <w:pPr>
        <w:pStyle w:val="P8"/>
        <w:rPr>
          <w:sz w:val="28"/>
          <w:szCs w:val="28"/>
        </w:rPr>
      </w:pPr>
      <w:r>
        <w:rPr>
          <w:sz w:val="28"/>
          <w:szCs w:val="28"/>
        </w:rPr>
        <w:t>A rendelet hatásvizsgálata</w:t>
      </w:r>
    </w:p>
    <w:p/>
    <w:p>
      <w:pPr>
        <w:jc w:val="both"/>
        <w:rPr>
          <w:sz w:val="28"/>
          <w:szCs w:val="28"/>
        </w:rPr>
      </w:pPr>
      <w:r>
        <w:rPr>
          <w:iCs w:val="1"/>
          <w:sz w:val="28"/>
          <w:szCs w:val="28"/>
        </w:rPr>
        <w:t xml:space="preserve">- </w:t>
      </w:r>
      <w:r>
        <w:rPr>
          <w:b w:val="1"/>
          <w:bCs w:val="1"/>
          <w:iCs w:val="1"/>
          <w:sz w:val="28"/>
          <w:szCs w:val="28"/>
        </w:rPr>
        <w:t>A rendelet-módosításnak társadalmi, gazdasági, költségvetési kihatása</w:t>
      </w:r>
      <w:r>
        <w:rPr>
          <w:iCs w:val="1"/>
          <w:sz w:val="28"/>
          <w:szCs w:val="28"/>
        </w:rPr>
        <w:t xml:space="preserve"> a módosítások átvezetésével új célok valósulhatnak meg</w:t>
      </w:r>
      <w:r>
        <w:rPr>
          <w:sz w:val="28"/>
          <w:szCs w:val="28"/>
        </w:rPr>
        <w:t xml:space="preserve">. 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 w:val="1"/>
          <w:sz w:val="28"/>
          <w:szCs w:val="28"/>
        </w:rPr>
        <w:t>Környezeti és egészségi következmények:</w:t>
      </w:r>
      <w:r>
        <w:rPr>
          <w:sz w:val="28"/>
          <w:szCs w:val="28"/>
        </w:rPr>
        <w:t xml:space="preserve"> az önkormányzati rendelet megalkotásának környezeti és egészségügyi hatása nem mérhető. </w:t>
      </w:r>
    </w:p>
    <w:p>
      <w:pPr>
        <w:jc w:val="both"/>
        <w:rPr>
          <w:sz w:val="28"/>
          <w:szCs w:val="28"/>
        </w:rPr>
      </w:pPr>
    </w:p>
    <w:p>
      <w:pPr>
        <w:pStyle w:val="P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 w:val="1"/>
          <w:sz w:val="28"/>
          <w:szCs w:val="28"/>
        </w:rPr>
        <w:t xml:space="preserve">A jogalkotás elmaradásának várható következménye: </w:t>
      </w:r>
      <w:r>
        <w:rPr>
          <w:sz w:val="28"/>
          <w:szCs w:val="28"/>
        </w:rPr>
        <w:t>nincs</w:t>
      </w:r>
    </w:p>
    <w:p>
      <w:pPr>
        <w:pStyle w:val="P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>
        <w:rPr>
          <w:b w:val="1"/>
          <w:sz w:val="28"/>
          <w:szCs w:val="28"/>
        </w:rPr>
        <w:t>Az önkormányzati rendelet módosításának adminisztratív terhe:</w:t>
      </w:r>
      <w:r>
        <w:rPr>
          <w:sz w:val="28"/>
          <w:szCs w:val="28"/>
        </w:rPr>
        <w:t xml:space="preserve"> nincs</w:t>
      </w:r>
    </w:p>
    <w:p>
      <w:pPr>
        <w:jc w:val="both"/>
        <w:rPr>
          <w:b w:val="1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 w:val="1"/>
          <w:sz w:val="28"/>
          <w:szCs w:val="28"/>
        </w:rPr>
        <w:t>Az önkormányzati rendelet alkalmazásához szükséges személyi, szervezeti, tárgyi és pénzügyi többletfeltétel</w:t>
      </w:r>
      <w:r>
        <w:rPr>
          <w:sz w:val="28"/>
          <w:szCs w:val="28"/>
        </w:rPr>
        <w:t>: nem szükséges.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i w:val="1"/>
          <w:sz w:val="28"/>
          <w:szCs w:val="28"/>
        </w:rPr>
        <w:t>Jegyző törvényességi véleménye:</w:t>
      </w:r>
      <w:r>
        <w:rPr>
          <w:sz w:val="28"/>
          <w:szCs w:val="28"/>
        </w:rPr>
        <w:t xml:space="preserve"> Észrevételt nem tesz.</w:t>
      </w:r>
    </w:p>
    <w:p>
      <w:pPr>
        <w:rPr>
          <w:b w:val="1"/>
          <w:sz w:val="28"/>
          <w:szCs w:val="28"/>
        </w:rPr>
      </w:pPr>
    </w:p>
    <w:p>
      <w:pPr>
        <w:pStyle w:val="P133"/>
        <w:jc w:val="left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Jogi Főosztály véleménye:</w:t>
      </w:r>
      <w:r>
        <w:rPr>
          <w:i w:val="0"/>
          <w:color w:val="000000"/>
          <w:sz w:val="28"/>
          <w:szCs w:val="28"/>
        </w:rPr>
        <w:t xml:space="preserve"> Az előterjesztésben közölt adatok, egyéb információk alapján az előterjesztéshez jogi észrevételt nem tesz.</w:t>
      </w:r>
    </w:p>
    <w:p>
      <w:pPr>
        <w:suppressAutoHyphens w:val="1"/>
        <w:spacing w:lineRule="auto" w:line="276" w:beforeAutospacing="0" w:afterAutospacing="0"/>
        <w:jc w:val="both"/>
        <w:rPr>
          <w:b w:val="1"/>
          <w:bCs w:val="1"/>
          <w:sz w:val="28"/>
          <w:szCs w:val="28"/>
        </w:rPr>
      </w:pPr>
    </w:p>
    <w:p>
      <w:pPr>
        <w:suppressAutoHyphens w:val="1"/>
        <w:spacing w:lineRule="auto" w:line="276" w:beforeAutospacing="0" w:afterAutospacing="0"/>
        <w:jc w:val="both"/>
        <w:rPr>
          <w:b w:val="1"/>
          <w:bCs w:val="1"/>
          <w:sz w:val="28"/>
          <w:szCs w:val="28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4" w:space="1" w:shadow="0" w:frame="0" w:color="auto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76" w:beforeAutospacing="0" w:afterAutospacing="0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</w:rPr>
        <w:t xml:space="preserve">III. Bizottsági vélemények </w:t>
      </w:r>
    </w:p>
    <w:p>
      <w:pPr>
        <w:suppressAutoHyphens w:val="1"/>
        <w:spacing w:lineRule="auto" w:line="276" w:beforeAutospacing="0" w:afterAutospacing="0"/>
        <w:jc w:val="both"/>
        <w:rPr>
          <w:b w:val="1"/>
          <w:bCs w:val="1"/>
          <w:sz w:val="28"/>
          <w:szCs w:val="28"/>
        </w:rPr>
      </w:pPr>
    </w:p>
    <w:p>
      <w:pPr>
        <w:suppressAutoHyphens w:val="1"/>
        <w:spacing w:lineRule="auto" w:line="276" w:beforeAutospacing="0" w:afterAutospacing="0"/>
        <w:jc w:val="both"/>
        <w:rPr>
          <w:i w:val="1"/>
          <w:iCs w:val="1"/>
          <w:color w:val="000000"/>
          <w:sz w:val="28"/>
          <w:szCs w:val="28"/>
        </w:rPr>
      </w:pPr>
      <w:r>
        <w:rPr>
          <w:i w:val="1"/>
          <w:iCs w:val="1"/>
          <w:color w:val="000000"/>
          <w:sz w:val="28"/>
          <w:szCs w:val="28"/>
        </w:rPr>
        <w:t xml:space="preserve">A költségvetési rendelet módosítását a Pénzügyi és Költségvetési Bizottság, a Jogi és Ügyrendi Bizottság és a Népjóléti Bizottság tárgyalja. </w:t>
      </w:r>
    </w:p>
    <w:p/>
    <w:p/>
    <w:p/>
    <w:p/>
    <w:p/>
    <w:p/>
    <w:p/>
    <w:p/>
    <w:p/>
    <w:p/>
    <w:p>
      <w:pPr>
        <w:pBdr>
          <w:top w:val="none" w:sz="0" w:space="0" w:shadow="0" w:frame="0" w:color="auto"/>
          <w:left w:val="none" w:sz="0" w:space="0" w:shadow="0" w:frame="0" w:color="auto"/>
          <w:bottom w:val="single" w:sz="4" w:space="1" w:shadow="0" w:frame="0" w:color="auto"/>
          <w:right w:val="none" w:sz="0" w:space="0" w:shadow="0" w:frame="0" w:color="auto"/>
          <w:between w:val="none" w:sz="0" w:space="0" w:shadow="0" w:frame="0" w:color="auto"/>
        </w:pBdr>
        <w:rPr>
          <w:b w:val="1"/>
          <w:sz w:val="28"/>
          <w:szCs w:val="28"/>
        </w:rPr>
      </w:pPr>
      <w:r>
        <w:rPr>
          <w:b w:val="1"/>
          <w:sz w:val="28"/>
          <w:szCs w:val="28"/>
        </w:rPr>
        <w:t xml:space="preserve">IV. </w:t>
      </w:r>
      <w:r>
        <w:rPr>
          <w:b w:val="1"/>
          <w:bCs w:val="1"/>
          <w:color w:val="000000"/>
          <w:sz w:val="28"/>
          <w:szCs w:val="28"/>
        </w:rPr>
        <w:t>Döntési javaslat</w:t>
      </w:r>
    </w:p>
    <w:p>
      <w:pPr>
        <w:rPr>
          <w:b w:val="1"/>
          <w:sz w:val="28"/>
          <w:szCs w:val="28"/>
        </w:rPr>
      </w:pPr>
    </w:p>
    <w:p>
      <w:pPr>
        <w:jc w:val="both"/>
        <w:rPr>
          <w:i w:val="1"/>
          <w:iCs w:val="1"/>
          <w:color w:val="000000"/>
          <w:sz w:val="28"/>
          <w:szCs w:val="28"/>
        </w:rPr>
      </w:pPr>
      <w:r>
        <w:rPr>
          <w:i w:val="1"/>
          <w:iCs w:val="1"/>
          <w:color w:val="000000"/>
          <w:sz w:val="28"/>
          <w:szCs w:val="28"/>
        </w:rPr>
        <w:t xml:space="preserve">Budapest Főváros XIV. Kerület Zugló Önkormányzata Képviselő-testülete megalkotja a </w:t>
      </w:r>
      <w:r>
        <w:rPr>
          <w:bCs w:val="1"/>
          <w:sz w:val="28"/>
          <w:szCs w:val="28"/>
        </w:rPr>
        <w:t>Budapest Főváros XIV. Kerület Zugló Önkormányzata Képviselő- testületének......./2026. ()</w:t>
      </w:r>
      <w:r>
        <w:rPr>
          <w:bCs w:val="1"/>
          <w:szCs w:val="24"/>
        </w:rPr>
        <w:t xml:space="preserve"> </w:t>
      </w:r>
      <w:r>
        <w:rPr>
          <w:i w:val="1"/>
          <w:iCs w:val="1"/>
          <w:color w:val="000000"/>
          <w:sz w:val="28"/>
          <w:szCs w:val="28"/>
        </w:rPr>
        <w:t>önkormányzati rendeletét a Budapest Főváros XIV. Kerület Zugló Önkormányzata 2026. évi költségvetéséről szóló 2/2026. (II. 13.) önkormányzati rendelet módosításáról az 1. és 2. melléklet szerint.</w:t>
      </w:r>
    </w:p>
    <w:p>
      <w:pPr>
        <w:rPr>
          <w:szCs w:val="24"/>
        </w:rPr>
      </w:pPr>
    </w:p>
    <w:p>
      <w:pPr>
        <w:spacing w:lineRule="atLeast" w:line="330" w:beforeAutospacing="0" w:afterAutospacing="0"/>
        <w:jc w:val="both"/>
        <w:rPr>
          <w:color w:val="000000"/>
          <w:sz w:val="28"/>
          <w:szCs w:val="28"/>
        </w:rPr>
      </w:pPr>
      <w:r>
        <w:rPr>
          <w:i w:val="1"/>
          <w:iCs w:val="1"/>
          <w:color w:val="000000"/>
          <w:sz w:val="28"/>
          <w:szCs w:val="28"/>
        </w:rPr>
        <w:t>A rendeletalkotás a Magyarország helyi önkormányzatairól szóló 2011. évi CLXXXIX. törvény 50. §-a és a 42. § 1. pontja alapján </w:t>
      </w:r>
      <w:r>
        <w:rPr>
          <w:b w:val="1"/>
          <w:i w:val="1"/>
          <w:bCs w:val="1"/>
          <w:iCs w:val="1"/>
          <w:color w:val="000000"/>
          <w:sz w:val="28"/>
          <w:szCs w:val="28"/>
        </w:rPr>
        <w:t>minősített többséget</w:t>
      </w:r>
      <w:r>
        <w:rPr>
          <w:i w:val="1"/>
          <w:iCs w:val="1"/>
          <w:color w:val="000000"/>
          <w:sz w:val="28"/>
          <w:szCs w:val="28"/>
        </w:rPr>
        <w:t> igényel.</w:t>
      </w:r>
    </w:p>
    <w:p>
      <w:pPr>
        <w:spacing w:lineRule="atLeast" w:line="253" w:beforeAutospacing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Budapest, 2026. </w:t>
      </w:r>
      <w:r>
        <w:rPr>
          <w:sz w:val="28"/>
          <w:szCs w:val="22"/>
        </w:rPr>
        <w:t>március 3.</w:t>
      </w:r>
    </w:p>
    <w:p>
      <w:pPr>
        <w:rPr>
          <w:sz w:val="28"/>
          <w:szCs w:val="28"/>
        </w:rPr>
      </w:pPr>
    </w:p>
    <w:p>
      <w:pPr>
        <w:ind w:firstLine="708" w:left="708"/>
        <w:rPr>
          <w:sz w:val="28"/>
          <w:szCs w:val="28"/>
        </w:rPr>
      </w:pPr>
      <w:r>
        <w:rPr>
          <w:sz w:val="28"/>
          <w:szCs w:val="28"/>
        </w:rPr>
        <w:tab/>
        <w:tab/>
        <w:t xml:space="preserve">     </w:t>
        <w:tab/>
        <w:tab/>
        <w:tab/>
        <w:tab/>
        <w:t xml:space="preserve">    </w:t>
      </w:r>
      <w:r>
        <w:rPr>
          <w:sz w:val="28"/>
          <w:szCs w:val="22"/>
        </w:rPr>
        <w:t xml:space="preserve">           </w:t>
      </w:r>
      <w:r>
        <w:rPr>
          <w:sz w:val="28"/>
          <w:szCs w:val="28"/>
        </w:rPr>
        <w:t xml:space="preserve"> Rózsa András</w:t>
      </w:r>
    </w:p>
    <w:p>
      <w:pPr>
        <w:ind w:left="3540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 xml:space="preserve">      polgármester</w:t>
      </w:r>
    </w:p>
    <w:p>
      <w:pPr>
        <w:ind w:left="3540"/>
        <w:rPr>
          <w:sz w:val="28"/>
          <w:szCs w:val="28"/>
        </w:rPr>
      </w:pPr>
    </w:p>
    <w:p>
      <w:pPr>
        <w:ind w:left="3540"/>
        <w:rPr>
          <w:sz w:val="28"/>
          <w:szCs w:val="28"/>
        </w:rPr>
      </w:pPr>
    </w:p>
    <w:p>
      <w:pPr>
        <w:ind w:hanging="2835" w:left="2835" w:right="-427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Mellékletek felsorolása:</w:t>
      </w:r>
    </w:p>
    <w:p>
      <w:pPr>
        <w:ind w:hanging="2835" w:left="2835" w:right="-427"/>
        <w:rPr>
          <w:sz w:val="28"/>
          <w:szCs w:val="28"/>
          <w:u w:val="single"/>
        </w:rPr>
      </w:pPr>
    </w:p>
    <w:p>
      <w:pPr>
        <w:ind w:right="-427"/>
        <w:rPr>
          <w:sz w:val="28"/>
          <w:szCs w:val="28"/>
        </w:rPr>
      </w:pPr>
      <w:r>
        <w:rPr>
          <w:sz w:val="28"/>
          <w:szCs w:val="28"/>
        </w:rPr>
        <w:t>Az előterjesztés</w:t>
      </w:r>
    </w:p>
    <w:p>
      <w:pPr>
        <w:pStyle w:val="P127"/>
        <w:numPr>
          <w:ilvl w:val="0"/>
          <w:numId w:val="25"/>
        </w:numPr>
        <w:ind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melléklete: Budapest Főváros XIV. Kerület Zugló Önkormányzata Képviselő-testülete 2026. évi költségvetéséről szóló 2/2026. (II. 13.) önkormányzati rendelet-módosítás tervezete</w:t>
      </w:r>
    </w:p>
    <w:p>
      <w:pPr>
        <w:pStyle w:val="P127"/>
        <w:numPr>
          <w:ilvl w:val="0"/>
          <w:numId w:val="25"/>
        </w:numPr>
        <w:ind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melléklete: A rendelet-tervezet indokolása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Az előterjesztést készítette:</w:t>
        <w:tab/>
        <w:t>Gazdasági Főosztály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0"/>
      <w:pgMar w:left="1417" w:right="1417" w:top="1417" w:bottom="1417" w:header="709" w:footer="1134" w:gutter="0"/>
      <w:pgNumType w:start="1" w:chapSep="period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1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  <w:lang w:val="hu-HU"/>
      </w:rPr>
      <w:t>#</w:t>
    </w:r>
    <w:r>
      <w:fldChar w:fldCharType="end"/>
    </w:r>
  </w:p>
  <w:p>
    <w:pPr>
      <w:pStyle w:val="P10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10"/>
      <w:framePr w:wrap="around" w:vAnchor="text" w:hAnchor="margin" w:x="0" w:xAlign="center" w:y="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hu-HU"/>
      </w:rPr>
      <w:t>#</w:t>
    </w:r>
    <w:r>
      <w:fldChar w:fldCharType="end"/>
    </w:r>
  </w:p>
  <w:p>
    <w:pPr>
      <w:pStyle w:val="P10"/>
      <w:framePr w:wrap="around" w:vAnchor="text" w:hAnchor="margin" w:x="0" w:xAlign="center" w:y="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10"/>
      <w:framePr w:wrap="around" w:vAnchor="text" w:hAnchor="margin" w:x="0" w:xAlign="center" w:y="1"/>
      <w:rPr>
        <w:rStyle w:val="C3"/>
      </w:rPr>
    </w:pPr>
    <w:r>
      <w:rPr>
        <w:rStyle w:val="C3"/>
      </w:rP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</w:pPr>
  </w:p>
</w:ftr>
</file>

<file path=word/numbering.xml><?xml version="1.0" encoding="utf-8"?>
<w:numbering xmlns:w="http://schemas.openxmlformats.org/wordprocessingml/2006/main">
  <w:abstractNum w:abstractNumId="0">
    <w:nsid w:val="03E805DC"/>
    <w:multiLevelType w:val="hybridMultilevel"/>
    <w:lvl w:ilvl="0" w:tplc="CD189504">
      <w:start w:val="2"/>
      <w:numFmt w:val="bullet"/>
      <w:suff w:val="tab"/>
      <w:lvlText w:val="-"/>
      <w:lvlJc w:val="left"/>
      <w:pPr>
        <w:ind w:hanging="360" w:left="1647"/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2367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3087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3807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4527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5247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967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6687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7407"/>
      </w:pPr>
      <w:rPr>
        <w:rFonts w:ascii="Wingdings" w:hAnsi="Wingdings"/>
      </w:rPr>
    </w:lvl>
  </w:abstractNum>
  <w:abstractNum w:abstractNumId="1">
    <w:nsid w:val="041B220F"/>
    <w:multiLevelType w:val="hybridMultilevel"/>
    <w:lvl w:ilvl="0" w:tplc="3B243A28">
      <w:start w:val="782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53737AE"/>
    <w:multiLevelType w:val="hybridMultilevel"/>
    <w:lvl w:ilvl="0" w:tplc="B3AEBDE0">
      <w:start w:val="1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8277114"/>
    <w:multiLevelType w:val="hybridMultilevel"/>
    <w:lvl w:ilvl="0" w:tplc="6F8236DA">
      <w:start w:val="34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9FA2EDD"/>
    <w:multiLevelType w:val="hybridMultilevel"/>
    <w:lvl w:ilvl="0" w:tplc="2F96F9F2">
      <w:start w:val="2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B8277A3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num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num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num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num" w:pos="6480" w:leader="none"/>
        </w:tabs>
      </w:pPr>
      <w:rPr/>
    </w:lvl>
  </w:abstractNum>
  <w:abstractNum w:abstractNumId="6">
    <w:nsid w:val="22D46345"/>
    <w:multiLevelType w:val="hybridMultilevel"/>
    <w:lvl w:ilvl="0" w:tplc="69B26442">
      <w:start w:val="6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36546364"/>
    <w:multiLevelType w:val="hybridMultilevel"/>
    <w:lvl w:ilvl="0" w:tplc="4F32B3F8">
      <w:start w:val="1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A3B3747"/>
    <w:multiLevelType w:val="hybridMultilevel"/>
    <w:lvl w:ilvl="0" w:tplc="8C7ABA38">
      <w:start w:val="682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E852BFA"/>
    <w:multiLevelType w:val="hybridMultilevel"/>
    <w:lvl w:ilvl="0" w:tplc="79A670B4">
      <w:start w:val="6"/>
      <w:numFmt w:val="decimal"/>
      <w:suff w:val="tab"/>
      <w:lvlText w:val="%1"/>
      <w:lvlJc w:val="left"/>
      <w:pPr>
        <w:ind w:hanging="360" w:left="108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3F5C7D51"/>
    <w:multiLevelType w:val="hybridMultilevel"/>
    <w:lvl w:ilvl="0" w:tplc="8C7ABA38">
      <w:start w:val="682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629642F"/>
    <w:multiLevelType w:val="hybridMultilevel"/>
    <w:lvl w:ilvl="0" w:tplc="BEA8D456">
      <w:start w:val="4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469B7811"/>
    <w:multiLevelType w:val="hybridMultilevel"/>
    <w:lvl w:ilvl="0" w:tplc="B964C4A2">
      <w:start w:val="1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70372A3"/>
    <w:multiLevelType w:val="hybridMultilevel"/>
    <w:lvl w:ilvl="0" w:tplc="19786554">
      <w:start w:val="5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FD847A9"/>
    <w:multiLevelType w:val="hybridMultilevel"/>
    <w:lvl w:ilvl="0" w:tplc="D910F47E">
      <w:start w:val="6"/>
      <w:numFmt w:val="decimal"/>
      <w:suff w:val="tab"/>
      <w:lvlText w:val="%1"/>
      <w:lvlJc w:val="left"/>
      <w:pPr>
        <w:ind w:hanging="360" w:left="144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5A6E06D6"/>
    <w:multiLevelType w:val="hybridMultilevel"/>
    <w:lvl w:ilvl="0" w:tplc="13ECB6F0">
      <w:start w:val="6"/>
      <w:numFmt w:val="decimal"/>
      <w:suff w:val="tab"/>
      <w:lvlText w:val="%1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5CC70864"/>
    <w:multiLevelType w:val="hybridMultilevel"/>
    <w:lvl w:ilvl="0" w:tplc="CD189504">
      <w:start w:val="2"/>
      <w:numFmt w:val="bullet"/>
      <w:suff w:val="tab"/>
      <w:lvlText w:val="-"/>
      <w:lvlJc w:val="left"/>
      <w:pPr>
        <w:ind w:hanging="360" w:left="3195"/>
        <w:tabs>
          <w:tab w:val="num" w:pos="3195" w:leader="none"/>
        </w:tabs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1440"/>
        <w:tabs>
          <w:tab w:val="num" w:pos="1440" w:leader="none"/>
        </w:tabs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2160"/>
        <w:tabs>
          <w:tab w:val="num" w:pos="2160" w:leader="none"/>
        </w:tabs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880"/>
        <w:tabs>
          <w:tab w:val="num" w:pos="2880" w:leader="none"/>
        </w:tabs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600"/>
        <w:tabs>
          <w:tab w:val="num" w:pos="3600" w:leader="none"/>
        </w:tabs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320"/>
        <w:tabs>
          <w:tab w:val="num" w:pos="4320" w:leader="none"/>
        </w:tabs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040"/>
        <w:tabs>
          <w:tab w:val="num" w:pos="5040" w:leader="none"/>
        </w:tabs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760"/>
        <w:tabs>
          <w:tab w:val="num" w:pos="5760" w:leader="none"/>
        </w:tabs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480"/>
        <w:tabs>
          <w:tab w:val="num" w:pos="6480" w:leader="none"/>
        </w:tabs>
      </w:pPr>
      <w:rPr>
        <w:rFonts w:ascii="Wingdings" w:hAnsi="Wingdings"/>
      </w:rPr>
    </w:lvl>
  </w:abstractNum>
  <w:abstractNum w:abstractNumId="17">
    <w:nsid w:val="5FFB5C2E"/>
    <w:multiLevelType w:val="hybridMultilevel"/>
    <w:lvl w:ilvl="0" w:tplc="6E60E2F6">
      <w:start w:val="2"/>
      <w:numFmt w:val="bullet"/>
      <w:suff w:val="tab"/>
      <w:lvlText w:val="-"/>
      <w:lvlJc w:val="left"/>
      <w:pPr>
        <w:ind w:hanging="360" w:left="928"/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1365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2085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805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525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245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4965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685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405"/>
      </w:pPr>
      <w:rPr>
        <w:rFonts w:ascii="Wingdings" w:hAnsi="Wingdings"/>
      </w:rPr>
    </w:lvl>
  </w:abstractNum>
  <w:abstractNum w:abstractNumId="18">
    <w:nsid w:val="60DD43E7"/>
    <w:multiLevelType w:val="hybridMultilevel"/>
    <w:lvl w:ilvl="0" w:tplc="89309072">
      <w:start w:val="1"/>
      <w:numFmt w:val="bullet"/>
      <w:suff w:val="tab"/>
      <w:lvlText w:val="-"/>
      <w:lvlJc w:val="left"/>
      <w:pPr>
        <w:ind w:hanging="360" w:left="786"/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1506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2226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946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666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386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106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826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546"/>
      </w:pPr>
      <w:rPr>
        <w:rFonts w:ascii="Wingdings" w:hAnsi="Wingdings"/>
      </w:rPr>
    </w:lvl>
  </w:abstractNum>
  <w:abstractNum w:abstractNumId="19">
    <w:nsid w:val="6C2A64F1"/>
    <w:multiLevelType w:val="hybridMultilevel"/>
    <w:lvl w:ilvl="0" w:tplc="AD761BBE">
      <w:start w:val="1"/>
      <w:numFmt w:val="decimal"/>
      <w:suff w:val="tab"/>
      <w:lvlText w:val="%1."/>
      <w:lvlJc w:val="left"/>
      <w:pPr>
        <w:ind w:hanging="360" w:left="177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249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321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93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65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537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609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81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7530"/>
      </w:pPr>
      <w:rPr/>
    </w:lvl>
  </w:abstractNum>
  <w:abstractNum w:abstractNumId="20">
    <w:nsid w:val="737D5BA6"/>
    <w:multiLevelType w:val="hybridMultilevel"/>
    <w:lvl w:ilvl="0" w:tplc="625A7058">
      <w:start w:val="1"/>
      <w:numFmt w:val="bullet"/>
      <w:suff w:val="tab"/>
      <w:lvlText w:val="-"/>
      <w:lvlJc w:val="left"/>
      <w:pPr>
        <w:ind w:hanging="360" w:left="3192"/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3912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4632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5352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6072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6792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7512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8232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8952"/>
      </w:pPr>
      <w:rPr>
        <w:rFonts w:ascii="Wingdings" w:hAnsi="Wingdings"/>
      </w:rPr>
    </w:lvl>
  </w:abstractNum>
  <w:abstractNum w:abstractNumId="21">
    <w:nsid w:val="761B4C71"/>
    <w:multiLevelType w:val="hybridMultilevel"/>
    <w:lvl w:ilvl="0" w:tplc="CD189504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76711D83"/>
    <w:multiLevelType w:val="hybridMultilevel"/>
    <w:lvl w:ilvl="0" w:tplc="040E000F">
      <w:start w:val="1"/>
      <w:numFmt w:val="decimal"/>
      <w:suff w:val="tab"/>
      <w:lvlText w:val="%1."/>
      <w:lvlJc w:val="left"/>
      <w:pPr>
        <w:ind w:hanging="720" w:left="1785"/>
      </w:pPr>
      <w:rPr>
        <w:b w:val="1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2145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865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585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305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5025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745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465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7185"/>
      </w:pPr>
      <w:rPr/>
    </w:lvl>
  </w:abstractNum>
  <w:abstractNum w:abstractNumId="23">
    <w:nsid w:val="7927117D"/>
    <w:multiLevelType w:val="hybridMultilevel"/>
    <w:lvl w:ilvl="0" w:tplc="313E8AEE">
      <w:start w:val="1"/>
      <w:numFmt w:val="decimal"/>
      <w:suff w:val="tab"/>
      <w:lvlText w:val="(%1)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F3743D0"/>
    <w:multiLevelType w:val="hybridMultilevel"/>
    <w:lvl w:ilvl="0" w:tplc="040E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E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6"/>
  </w:num>
  <w:num w:numId="2">
    <w:abstractNumId w:val="20"/>
  </w:num>
  <w:num w:numId="3">
    <w:abstractNumId w:val="22"/>
  </w:num>
  <w:num w:numId="4">
    <w:abstractNumId w:val="23"/>
  </w:num>
  <w:num w:numId="5">
    <w:abstractNumId w:val="17"/>
  </w:num>
  <w:num w:numId="6">
    <w:abstractNumId w:val="21"/>
  </w:num>
  <w:num w:numId="7">
    <w:abstractNumId w:val="9"/>
  </w:num>
  <w:num w:numId="8">
    <w:abstractNumId w:val="14"/>
  </w:num>
  <w:num w:numId="9">
    <w:abstractNumId w:val="2"/>
  </w:num>
  <w:num w:numId="10">
    <w:abstractNumId w:val="21"/>
  </w:num>
  <w:num w:numId="11">
    <w:abstractNumId w:val="15"/>
  </w:num>
  <w:num w:numId="12">
    <w:abstractNumId w:val="1"/>
  </w:num>
  <w:num w:numId="13">
    <w:abstractNumId w:val="11"/>
  </w:num>
  <w:num w:numId="14">
    <w:abstractNumId w:val="4"/>
  </w:num>
  <w:num w:numId="15">
    <w:abstractNumId w:val="3"/>
  </w:num>
  <w:num w:numId="16">
    <w:abstractNumId w:val="7"/>
  </w:num>
  <w:num w:numId="17">
    <w:abstractNumId w:val="13"/>
  </w:num>
  <w:num w:numId="18">
    <w:abstractNumId w:val="12"/>
  </w:num>
  <w:num w:numId="19">
    <w:abstractNumId w:val="8"/>
  </w:num>
  <w:num w:numId="20">
    <w:abstractNumId w:val="6"/>
  </w:num>
  <w:num w:numId="21">
    <w:abstractNumId w:val="10"/>
  </w:num>
  <w:num w:numId="22">
    <w:abstractNumId w:val="24"/>
  </w:num>
  <w:num w:numId="23">
    <w:abstractNumId w:val="5"/>
  </w:num>
  <w:num w:numId="24">
    <w:abstractNumId w:val="19"/>
  </w:num>
  <w:num w:numId="25">
    <w:abstractNumId w:val="0"/>
  </w:num>
  <w:num w:numId="26">
    <w:abstractNumId w:val="18"/>
  </w:num>
</w:numbering>
</file>

<file path=word/settings.xml><?xml version="1.0" encoding="utf-8"?>
<w:settings xmlns:w="http://schemas.openxmlformats.org/wordprocessingml/2006/main">
  <w:displayBackgroundShape w:val="0"/>
  <w:defaultTabStop w:val="709"/>
  <w:autoHyphenation w:val="0"/>
  <w:evenAndOddHeaders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hu-HU" w:bidi="ar-SA" w:eastAsia="hu-H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jc w:val="both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spacing w:lineRule="auto" w:line="360" w:beforeAutospacing="0" w:afterAutospacing="0"/>
      <w:jc w:val="both"/>
      <w:outlineLvl w:val="1"/>
    </w:pPr>
    <w:rPr>
      <w:b w:val="1"/>
      <w:i w:val="1"/>
    </w:rPr>
  </w:style>
  <w:style w:type="paragraph" w:styleId="P3">
    <w:name w:val="heading 3"/>
    <w:basedOn w:val="P0"/>
    <w:next w:val="P0"/>
    <w:qFormat/>
    <w:pPr>
      <w:keepNext w:val="1"/>
      <w:jc w:val="center"/>
      <w:outlineLvl w:val="2"/>
    </w:pPr>
    <w:rPr>
      <w:b w:val="1"/>
      <w:i w:val="1"/>
    </w:rPr>
  </w:style>
  <w:style w:type="paragraph" w:styleId="P4">
    <w:name w:val="heading 4"/>
    <w:basedOn w:val="P0"/>
    <w:next w:val="P0"/>
    <w:qFormat/>
    <w:pPr>
      <w:keepNext w:val="1"/>
      <w:ind w:firstLine="708"/>
      <w:outlineLvl w:val="3"/>
    </w:pPr>
    <w:rPr>
      <w:b w:val="1"/>
      <w:bCs w:val="1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rFonts w:ascii="MS Sans Serif" w:hAnsi="MS Sans Serif"/>
      <w:b w:val="1"/>
      <w:bCs w:val="1"/>
      <w:sz w:val="16"/>
    </w:rPr>
  </w:style>
  <w:style w:type="paragraph" w:styleId="P6">
    <w:name w:val="heading 6"/>
    <w:basedOn w:val="P0"/>
    <w:next w:val="P0"/>
    <w:qFormat/>
    <w:pPr>
      <w:keepNext w:val="1"/>
      <w:outlineLvl w:val="5"/>
    </w:pPr>
    <w:rPr>
      <w:b w:val="1"/>
    </w:rPr>
  </w:style>
  <w:style w:type="paragraph" w:styleId="P7">
    <w:name w:val="heading 7"/>
    <w:basedOn w:val="P0"/>
    <w:next w:val="P0"/>
    <w:qFormat/>
    <w:pPr>
      <w:keepNext w:val="1"/>
      <w:outlineLvl w:val="6"/>
    </w:pPr>
    <w:rPr>
      <w:b w:val="1"/>
      <w:color w:val="FF0000"/>
    </w:rPr>
  </w:style>
  <w:style w:type="paragraph" w:styleId="P8">
    <w:name w:val="heading 8"/>
    <w:basedOn w:val="P0"/>
    <w:next w:val="P0"/>
    <w:qFormat/>
    <w:pPr>
      <w:keepNext w:val="1"/>
      <w:outlineLvl w:val="7"/>
    </w:pPr>
    <w:rPr>
      <w:bCs w:val="1"/>
      <w:u w:val="single"/>
    </w:rPr>
  </w:style>
  <w:style w:type="paragraph" w:styleId="P9">
    <w:name w:val="heading 9"/>
    <w:basedOn w:val="P0"/>
    <w:next w:val="P0"/>
    <w:qFormat/>
    <w:pPr>
      <w:keepNext w:val="1"/>
      <w:outlineLvl w:val="8"/>
    </w:pPr>
    <w:rPr>
      <w:rFonts w:ascii="MS Sans Serif" w:hAnsi="MS Sans Serif"/>
      <w:b w:val="1"/>
      <w:bCs w:val="1"/>
      <w:sz w:val="20"/>
    </w:rPr>
  </w:style>
  <w:style w:type="paragraph" w:styleId="P10">
    <w:name w:val="footer"/>
    <w:basedOn w:val="P0"/>
    <w:link w:val="C11"/>
    <w:pPr>
      <w:tabs>
        <w:tab w:val="center" w:pos="4536" w:leader="none"/>
        <w:tab w:val="right" w:pos="9072" w:leader="none"/>
      </w:tabs>
    </w:pPr>
    <w:rPr>
      <w:lang/>
    </w:rPr>
  </w:style>
  <w:style w:type="paragraph" w:styleId="P11">
    <w:name w:val="Szövegtörzs 21"/>
    <w:basedOn w:val="P0"/>
    <w:pPr>
      <w:ind w:firstLine="27" w:left="708"/>
      <w:jc w:val="both"/>
    </w:pPr>
    <w:rPr/>
  </w:style>
  <w:style w:type="paragraph" w:styleId="P12">
    <w:name w:val="Szövegtörzs 22"/>
    <w:basedOn w:val="P0"/>
    <w:pPr>
      <w:ind w:left="284"/>
      <w:jc w:val="both"/>
    </w:pPr>
    <w:rPr/>
  </w:style>
  <w:style w:type="paragraph" w:styleId="P13">
    <w:name w:val="Body Text"/>
    <w:basedOn w:val="P0"/>
    <w:link w:val="C10"/>
    <w:pPr>
      <w:jc w:val="both"/>
    </w:pPr>
    <w:rPr>
      <w:lang/>
    </w:rPr>
  </w:style>
  <w:style w:type="paragraph" w:styleId="P14">
    <w:name w:val="Szövegtörzs behúzással 21"/>
    <w:basedOn w:val="P0"/>
    <w:pPr>
      <w:ind w:left="567"/>
      <w:jc w:val="both"/>
    </w:pPr>
    <w:rPr/>
  </w:style>
  <w:style w:type="paragraph" w:styleId="P15">
    <w:name w:val="Szövegtörzs 23"/>
    <w:basedOn w:val="P0"/>
    <w:pPr>
      <w:ind w:hanging="2835" w:left="3402"/>
      <w:jc w:val="both"/>
    </w:pPr>
    <w:rPr/>
  </w:style>
  <w:style w:type="paragraph" w:styleId="P16">
    <w:name w:val="Szövegtörzs 24"/>
    <w:basedOn w:val="P0"/>
    <w:pPr>
      <w:ind w:hanging="705" w:left="705"/>
      <w:jc w:val="both"/>
    </w:pPr>
    <w:rPr>
      <w:i w:val="1"/>
    </w:rPr>
  </w:style>
  <w:style w:type="paragraph" w:styleId="P17">
    <w:name w:val="Szövegtörzs 25"/>
    <w:basedOn w:val="P0"/>
    <w:pPr>
      <w:ind w:hanging="709" w:left="709"/>
      <w:jc w:val="both"/>
    </w:pPr>
    <w:rPr/>
  </w:style>
  <w:style w:type="paragraph" w:styleId="P18">
    <w:name w:val="xl39"/>
    <w:basedOn w:val="P0"/>
    <w:pPr>
      <w:pBdr>
        <w:top w:val="single" w:sz="6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19">
    <w:name w:val="xl40"/>
    <w:basedOn w:val="P0"/>
    <w:pPr>
      <w:pBdr>
        <w:top w:val="none" w:sz="0" w:space="0" w:shadow="0" w:frame="0" w:color="auto"/>
        <w:left w:val="single" w:sz="6" w:space="0" w:shadow="0" w:frame="0" w:color="auto"/>
        <w:bottom w:val="single" w:sz="6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20">
    <w:name w:val="xl41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</w:rPr>
  </w:style>
  <w:style w:type="paragraph" w:styleId="P21">
    <w:name w:val="xl43"/>
    <w:basedOn w:val="P0"/>
    <w:pPr>
      <w:pBdr>
        <w:top w:val="single" w:sz="6" w:space="0" w:shadow="0" w:frame="0" w:color="auto"/>
        <w:left w:val="none" w:sz="0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22">
    <w:name w:val="xl44"/>
    <w:basedOn w:val="P0"/>
    <w:pPr>
      <w:pBdr>
        <w:top w:val="single" w:sz="6" w:space="0" w:shadow="0" w:frame="0" w:color="auto"/>
        <w:left w:val="single" w:sz="6" w:space="0" w:shadow="0" w:frame="0" w:color="auto"/>
        <w:bottom w:val="single" w:sz="6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23">
    <w:name w:val="xl45"/>
    <w:basedOn w:val="P0"/>
    <w:pPr>
      <w:pBdr>
        <w:top w:val="single" w:sz="6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24">
    <w:name w:val="xl46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25">
    <w:name w:val="xl47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MS Sans Serif" w:hAnsi="MS Sans Serif"/>
    </w:rPr>
  </w:style>
  <w:style w:type="paragraph" w:styleId="P26">
    <w:name w:val="xl48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MS Sans Serif" w:hAnsi="MS Sans Serif"/>
    </w:rPr>
  </w:style>
  <w:style w:type="paragraph" w:styleId="P27">
    <w:name w:val="xl49"/>
    <w:basedOn w:val="P0"/>
    <w:pPr>
      <w:spacing w:before="100" w:after="100" w:beforeAutospacing="0" w:afterAutospacing="0"/>
    </w:pPr>
    <w:rPr>
      <w:rFonts w:ascii="MS Sans Serif" w:hAnsi="MS Sans Serif"/>
    </w:rPr>
  </w:style>
  <w:style w:type="paragraph" w:styleId="P28">
    <w:name w:val="Szövegtörzs 26"/>
    <w:basedOn w:val="P0"/>
    <w:pPr>
      <w:jc w:val="center"/>
    </w:pPr>
    <w:rPr>
      <w:rFonts w:ascii="MS Sans Serif" w:hAnsi="MS Sans Serif"/>
      <w:sz w:val="20"/>
    </w:rPr>
  </w:style>
  <w:style w:type="paragraph" w:styleId="P29">
    <w:name w:val="Szövegtörzs 27"/>
    <w:basedOn w:val="P0"/>
    <w:pPr>
      <w:ind w:hanging="851" w:left="993"/>
      <w:jc w:val="both"/>
    </w:pPr>
    <w:rPr/>
  </w:style>
  <w:style w:type="paragraph" w:styleId="P30">
    <w:name w:val="footnote text"/>
    <w:basedOn w:val="P0"/>
    <w:semiHidden/>
    <w:pPr/>
    <w:rPr>
      <w:sz w:val="20"/>
    </w:rPr>
  </w:style>
  <w:style w:type="paragraph" w:styleId="P31">
    <w:name w:val="Szövegtörzs 28"/>
    <w:basedOn w:val="P0"/>
    <w:pPr>
      <w:ind w:hanging="705" w:left="705"/>
      <w:jc w:val="both"/>
    </w:pPr>
    <w:rPr>
      <w:sz w:val="22"/>
    </w:rPr>
  </w:style>
  <w:style w:type="paragraph" w:styleId="P32">
    <w:name w:val="Szövegtörzs behúzással 22"/>
    <w:basedOn w:val="P0"/>
    <w:pPr>
      <w:ind w:firstLine="324" w:left="1800"/>
      <w:jc w:val="both"/>
    </w:pPr>
    <w:rPr>
      <w:sz w:val="20"/>
    </w:rPr>
  </w:style>
  <w:style w:type="paragraph" w:styleId="P33">
    <w:name w:val="xl58"/>
    <w:basedOn w:val="P0"/>
    <w:pP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34">
    <w:name w:val="xl59"/>
    <w:basedOn w:val="P0"/>
    <w:pPr>
      <w:pBdr>
        <w:top w:val="single" w:sz="6" w:space="0" w:shadow="0" w:frame="0" w:color="auto"/>
        <w:left w:val="single" w:sz="6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35">
    <w:name w:val="xl60"/>
    <w:basedOn w:val="P0"/>
    <w:pPr>
      <w:pBdr>
        <w:top w:val="single" w:sz="6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36">
    <w:name w:val="xl61"/>
    <w:basedOn w:val="P0"/>
    <w:pPr>
      <w:pBdr>
        <w:top w:val="single" w:sz="6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37">
    <w:name w:val="xl62"/>
    <w:basedOn w:val="P0"/>
    <w:pPr>
      <w:pBdr>
        <w:top w:val="none" w:sz="0" w:space="0" w:shadow="0" w:frame="0" w:color="auto"/>
        <w:left w:val="single" w:sz="6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38">
    <w:name w:val="xl63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39">
    <w:name w:val="xl64"/>
    <w:basedOn w:val="P0"/>
    <w:pPr>
      <w:pBdr>
        <w:top w:val="none" w:sz="0" w:space="0" w:shadow="0" w:frame="0" w:color="auto"/>
        <w:left w:val="single" w:sz="6" w:space="0" w:shadow="0" w:frame="0" w:color="auto"/>
        <w:bottom w:val="single" w:sz="6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  <w:jc w:val="center"/>
    </w:pPr>
    <w:rPr>
      <w:rFonts w:ascii="Arial Unicode MS" w:hAnsi="Arial Unicode MS"/>
      <w:b w:val="1"/>
    </w:rPr>
  </w:style>
  <w:style w:type="paragraph" w:styleId="P40">
    <w:name w:val="xl65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41">
    <w:name w:val="xl66"/>
    <w:basedOn w:val="P0"/>
    <w:pP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42">
    <w:name w:val="xl67"/>
    <w:basedOn w:val="P0"/>
    <w:pPr>
      <w:pBdr>
        <w:top w:val="none" w:sz="0" w:space="0" w:shadow="0" w:frame="0" w:color="auto"/>
        <w:left w:val="single" w:sz="6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43">
    <w:name w:val="xl68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MS Sans Serif" w:hAnsi="MS Sans Serif"/>
    </w:rPr>
  </w:style>
  <w:style w:type="paragraph" w:styleId="P44">
    <w:name w:val="xl69"/>
    <w:basedOn w:val="P0"/>
    <w:pPr>
      <w:pBdr>
        <w:top w:val="none" w:sz="0" w:space="0" w:shadow="0" w:frame="0" w:color="auto"/>
        <w:left w:val="single" w:sz="6" w:space="0" w:shadow="0" w:frame="0" w:color="auto"/>
        <w:bottom w:val="single" w:sz="6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</w:rPr>
  </w:style>
  <w:style w:type="paragraph" w:styleId="P45">
    <w:name w:val="xl70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</w:rPr>
  </w:style>
  <w:style w:type="paragraph" w:styleId="P46">
    <w:name w:val="xl71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</w:rPr>
  </w:style>
  <w:style w:type="paragraph" w:styleId="P47">
    <w:name w:val="xl72"/>
    <w:basedOn w:val="P0"/>
    <w:pPr>
      <w:pBdr>
        <w:top w:val="single" w:sz="6" w:space="0" w:shadow="0" w:frame="0" w:color="auto"/>
        <w:left w:val="single" w:sz="6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48">
    <w:name w:val="xl73"/>
    <w:basedOn w:val="P0"/>
    <w:pPr>
      <w:pBdr>
        <w:top w:val="single" w:sz="6" w:space="0" w:shadow="0" w:frame="0" w:color="auto"/>
        <w:left w:val="none" w:sz="0" w:space="0" w:shadow="0" w:frame="0" w:color="auto"/>
        <w:bottom w:val="single" w:sz="6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49">
    <w:name w:val="xl74"/>
    <w:basedOn w:val="P0"/>
    <w:pPr>
      <w:pBdr>
        <w:top w:val="single" w:sz="6" w:space="0" w:shadow="0" w:frame="0" w:color="auto"/>
        <w:left w:val="single" w:sz="6" w:space="0" w:shadow="0" w:frame="0" w:color="auto"/>
        <w:bottom w:val="single" w:sz="6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50">
    <w:name w:val="xl75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MS Sans Serif" w:hAnsi="MS Sans Serif"/>
      <w:b w:val="1"/>
    </w:rPr>
  </w:style>
  <w:style w:type="paragraph" w:styleId="P51">
    <w:name w:val="xl76"/>
    <w:basedOn w:val="P0"/>
    <w:pPr>
      <w:spacing w:before="100" w:after="100" w:beforeAutospacing="0" w:afterAutospacing="0"/>
    </w:pPr>
    <w:rPr>
      <w:rFonts w:ascii="MS Sans Serif" w:hAnsi="MS Sans Serif"/>
      <w:b w:val="1"/>
    </w:rPr>
  </w:style>
  <w:style w:type="paragraph" w:styleId="P52">
    <w:name w:val="xl77"/>
    <w:basedOn w:val="P0"/>
    <w:pPr>
      <w:pBdr>
        <w:top w:val="none" w:sz="0" w:space="0" w:shadow="0" w:frame="0" w:color="auto"/>
        <w:left w:val="single" w:sz="6" w:space="0" w:shadow="0" w:frame="0" w:color="auto"/>
        <w:bottom w:val="none" w:sz="0" w:space="0" w:shadow="0" w:frame="0" w:color="auto"/>
        <w:right w:val="single" w:sz="6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MS Sans Serif" w:hAnsi="MS Sans Serif"/>
      <w:b w:val="1"/>
    </w:rPr>
  </w:style>
  <w:style w:type="paragraph" w:styleId="P53">
    <w:name w:val="xl78"/>
    <w:basedOn w:val="P0"/>
    <w:pPr>
      <w:spacing w:before="100" w:after="100" w:beforeAutospacing="0" w:afterAutospacing="0"/>
    </w:pPr>
    <w:rPr>
      <w:rFonts w:ascii="MS Sans Serif" w:hAnsi="MS Sans Serif"/>
      <w:b w:val="1"/>
    </w:rPr>
  </w:style>
  <w:style w:type="paragraph" w:styleId="P54">
    <w:name w:val="xl57"/>
    <w:basedOn w:val="P0"/>
    <w:pPr>
      <w:pBdr>
        <w:top w:val="single" w:sz="6" w:space="0" w:shadow="0" w:frame="0" w:color="auto"/>
        <w:left w:val="single" w:sz="6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0" w:afterAutospacing="0"/>
    </w:pPr>
    <w:rPr>
      <w:rFonts w:ascii="Arial Unicode MS" w:hAnsi="Arial Unicode MS"/>
      <w:b w:val="1"/>
    </w:rPr>
  </w:style>
  <w:style w:type="paragraph" w:styleId="P55">
    <w:name w:val="Body Text 2"/>
    <w:basedOn w:val="P0"/>
    <w:pPr>
      <w:jc w:val="center"/>
    </w:pPr>
    <w:rPr>
      <w:b w:val="1"/>
      <w:sz w:val="28"/>
    </w:rPr>
  </w:style>
  <w:style w:type="paragraph" w:styleId="P56">
    <w:name w:val="Szövegtörzs 31"/>
    <w:basedOn w:val="P0"/>
    <w:pPr>
      <w:jc w:val="both"/>
    </w:pPr>
    <w:rPr>
      <w:i w:val="1"/>
    </w:rPr>
  </w:style>
  <w:style w:type="paragraph" w:styleId="P57">
    <w:name w:val="Body Text Indent"/>
    <w:basedOn w:val="P0"/>
    <w:pPr>
      <w:ind w:hanging="425" w:left="709"/>
      <w:jc w:val="both"/>
    </w:pPr>
    <w:rPr/>
  </w:style>
  <w:style w:type="paragraph" w:styleId="P58">
    <w:name w:val="Body Text Indent 2"/>
    <w:basedOn w:val="P0"/>
    <w:pPr>
      <w:ind w:hanging="993" w:left="1701"/>
      <w:jc w:val="both"/>
    </w:pPr>
    <w:rPr/>
  </w:style>
  <w:style w:type="paragraph" w:styleId="P59">
    <w:name w:val="xl142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b w:val="1"/>
      <w:bCs w:val="1"/>
      <w:szCs w:val="24"/>
    </w:rPr>
  </w:style>
  <w:style w:type="paragraph" w:styleId="P60">
    <w:name w:val="xl145"/>
    <w:basedOn w:val="P0"/>
    <w:pPr>
      <w:pBdr>
        <w:top w:val="single" w:sz="8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61">
    <w:name w:val="xl146"/>
    <w:basedOn w:val="P0"/>
    <w:pPr>
      <w:pBdr>
        <w:top w:val="single" w:sz="8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62">
    <w:name w:val="xl147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63">
    <w:name w:val="xl148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64">
    <w:name w:val="xl149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65">
    <w:name w:val="xl150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66">
    <w:name w:val="xl151"/>
    <w:basedOn w:val="P0"/>
    <w:pP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67">
    <w:name w:val="xl152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68">
    <w:name w:val="xl153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69">
    <w:name w:val="xl154"/>
    <w:basedOn w:val="P0"/>
    <w:pP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70">
    <w:name w:val="xl155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71">
    <w:name w:val="xl156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72">
    <w:name w:val="xl158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73">
    <w:name w:val="xl159"/>
    <w:basedOn w:val="P0"/>
    <w:pPr>
      <w:pBdr>
        <w:top w:val="none" w:sz="0" w:space="0" w:shadow="0" w:frame="0" w:color="auto"/>
        <w:left w:val="none" w:sz="0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74">
    <w:name w:val="xl160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75">
    <w:name w:val="xl161"/>
    <w:basedOn w:val="P0"/>
    <w:pPr>
      <w:pBdr>
        <w:top w:val="single" w:sz="8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76">
    <w:name w:val="xl162"/>
    <w:basedOn w:val="P0"/>
    <w:pPr>
      <w:pBdr>
        <w:top w:val="single" w:sz="8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77">
    <w:name w:val="Body Text Indent 3"/>
    <w:basedOn w:val="P0"/>
    <w:pPr>
      <w:ind w:hanging="1214" w:left="1418"/>
      <w:jc w:val="both"/>
    </w:pPr>
    <w:rPr/>
  </w:style>
  <w:style w:type="paragraph" w:styleId="P78">
    <w:name w:val="Body Text 3"/>
    <w:basedOn w:val="P0"/>
    <w:pPr>
      <w:jc w:val="both"/>
    </w:pPr>
    <w:rPr>
      <w:color w:val="FF0000"/>
    </w:rPr>
  </w:style>
  <w:style w:type="paragraph" w:styleId="P79">
    <w:name w:val="List"/>
    <w:basedOn w:val="P0"/>
    <w:pPr>
      <w:ind w:hanging="283" w:left="283"/>
    </w:pPr>
    <w:rPr/>
  </w:style>
  <w:style w:type="paragraph" w:styleId="P80">
    <w:name w:val="xl179"/>
    <w:basedOn w:val="P0"/>
    <w:pPr>
      <w:pBdr>
        <w:top w:val="single" w:sz="8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81">
    <w:name w:val="xl180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82">
    <w:name w:val="xl181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83">
    <w:name w:val="xl182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84">
    <w:name w:val="xl183"/>
    <w:basedOn w:val="P0"/>
    <w:pP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85">
    <w:name w:val="xl184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86">
    <w:name w:val="xl185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87">
    <w:name w:val="xl186"/>
    <w:basedOn w:val="P0"/>
    <w:pPr>
      <w:pBdr>
        <w:top w:val="single" w:sz="8" w:space="0" w:shadow="0" w:frame="0" w:color="auto"/>
        <w:left w:val="single" w:sz="8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88">
    <w:name w:val="xl187"/>
    <w:basedOn w:val="P0"/>
    <w:pPr>
      <w:pBdr>
        <w:top w:val="single" w:sz="8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89">
    <w:name w:val="xl188"/>
    <w:basedOn w:val="P0"/>
    <w:pPr>
      <w:pBdr>
        <w:top w:val="single" w:sz="8" w:space="0" w:shadow="0" w:frame="0" w:color="auto"/>
        <w:left w:val="single" w:sz="8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90">
    <w:name w:val="xl189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91">
    <w:name w:val="xl190"/>
    <w:basedOn w:val="P0"/>
    <w:pPr>
      <w:pBdr>
        <w:top w:val="single" w:sz="8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92">
    <w:name w:val="xl191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93">
    <w:name w:val="xl192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94">
    <w:name w:val="xl193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95">
    <w:name w:val="xl194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96">
    <w:name w:val="Block Text"/>
    <w:basedOn w:val="P0"/>
    <w:pPr>
      <w:ind w:hanging="426" w:left="426" w:right="252"/>
      <w:jc w:val="both"/>
    </w:pPr>
    <w:rPr/>
  </w:style>
  <w:style w:type="paragraph" w:styleId="P97">
    <w:name w:val="xl195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98">
    <w:name w:val="xl197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99">
    <w:name w:val="xl198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100">
    <w:name w:val="xl199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101">
    <w:name w:val="xl200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102">
    <w:name w:val="xl201"/>
    <w:basedOn w:val="P0"/>
    <w:pPr>
      <w:pBdr>
        <w:top w:val="single" w:sz="8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103">
    <w:name w:val="xl202"/>
    <w:basedOn w:val="P0"/>
    <w:pPr>
      <w:pBdr>
        <w:top w:val="single" w:sz="8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104">
    <w:name w:val="xl203"/>
    <w:basedOn w:val="P0"/>
    <w:pPr>
      <w:pBdr>
        <w:top w:val="single" w:sz="8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105">
    <w:name w:val="xl204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  <w:jc w:val="center"/>
    </w:pPr>
    <w:rPr>
      <w:rFonts w:ascii="Arial Unicode MS" w:hAnsi="Arial Unicode MS"/>
      <w:b w:val="1"/>
      <w:bCs w:val="1"/>
      <w:szCs w:val="24"/>
    </w:rPr>
  </w:style>
  <w:style w:type="paragraph" w:styleId="P106">
    <w:name w:val="xl205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107">
    <w:name w:val="xl206"/>
    <w:basedOn w:val="P0"/>
    <w:pPr>
      <w:spacing w:before="100" w:after="100" w:beforeAutospacing="1" w:afterAutospacing="1"/>
    </w:pPr>
    <w:rPr>
      <w:rFonts w:ascii="MS Sans Serif" w:hAnsi="MS Sans Serif"/>
      <w:b w:val="1"/>
      <w:bCs w:val="1"/>
      <w:color w:val="FF0000"/>
      <w:szCs w:val="24"/>
    </w:rPr>
  </w:style>
  <w:style w:type="paragraph" w:styleId="P108">
    <w:name w:val="xl207"/>
    <w:basedOn w:val="P0"/>
    <w:pP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09">
    <w:name w:val="xl208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10">
    <w:name w:val="xl209"/>
    <w:basedOn w:val="P0"/>
    <w:pP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11">
    <w:name w:val="xl210"/>
    <w:basedOn w:val="P0"/>
    <w:pPr>
      <w:pBdr>
        <w:top w:val="none" w:sz="0" w:space="0" w:shadow="0" w:frame="0" w:color="auto"/>
        <w:left w:val="none" w:sz="0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12">
    <w:name w:val="xl211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b w:val="1"/>
      <w:bCs w:val="1"/>
      <w:color w:val="FF0000"/>
      <w:szCs w:val="24"/>
    </w:rPr>
  </w:style>
  <w:style w:type="paragraph" w:styleId="P113">
    <w:name w:val="xl212"/>
    <w:basedOn w:val="P0"/>
    <w:pPr>
      <w:spacing w:before="100" w:after="100" w:beforeAutospacing="1" w:afterAutospacing="1"/>
    </w:pPr>
    <w:rPr>
      <w:rFonts w:ascii="MS Sans Serif" w:hAnsi="MS Sans Serif"/>
      <w:b w:val="1"/>
      <w:bCs w:val="1"/>
      <w:color w:val="FF0000"/>
      <w:szCs w:val="24"/>
    </w:rPr>
  </w:style>
  <w:style w:type="paragraph" w:styleId="P114">
    <w:name w:val="xl213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b w:val="1"/>
      <w:bCs w:val="1"/>
      <w:color w:val="FF0000"/>
      <w:szCs w:val="24"/>
    </w:rPr>
  </w:style>
  <w:style w:type="paragraph" w:styleId="P115">
    <w:name w:val="xl214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16">
    <w:name w:val="xl215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17">
    <w:name w:val="xl216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color w:val="FF0000"/>
      <w:szCs w:val="24"/>
    </w:rPr>
  </w:style>
  <w:style w:type="paragraph" w:styleId="P118">
    <w:name w:val="xl196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119">
    <w:name w:val="xl217"/>
    <w:basedOn w:val="P0"/>
    <w:pPr>
      <w:pBdr>
        <w:top w:val="none" w:sz="0" w:space="0" w:shadow="0" w:frame="0" w:color="auto"/>
        <w:left w:val="single" w:sz="8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120">
    <w:name w:val="xl218"/>
    <w:basedOn w:val="P0"/>
    <w:pP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121">
    <w:name w:val="xl220"/>
    <w:basedOn w:val="P0"/>
    <w:pPr>
      <w:pBdr>
        <w:top w:val="single" w:sz="8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b w:val="1"/>
      <w:bCs w:val="1"/>
      <w:szCs w:val="24"/>
    </w:rPr>
  </w:style>
  <w:style w:type="paragraph" w:styleId="P122">
    <w:name w:val="xl221"/>
    <w:basedOn w:val="P0"/>
    <w:pPr>
      <w:pBdr>
        <w:top w:val="none" w:sz="0" w:space="0" w:shadow="0" w:frame="0" w:color="auto"/>
        <w:left w:val="single" w:sz="8" w:space="0" w:shadow="0" w:frame="0" w:color="auto"/>
        <w:bottom w:val="single" w:sz="8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123">
    <w:name w:val="xl222"/>
    <w:basedOn w:val="P0"/>
    <w:pPr>
      <w:pBdr>
        <w:top w:val="none" w:sz="0" w:space="0" w:shadow="0" w:frame="0" w:color="auto"/>
        <w:left w:val="none" w:sz="0" w:space="0" w:shadow="0" w:frame="0" w:color="auto"/>
        <w:bottom w:val="single" w:sz="8" w:space="0" w:shadow="0" w:frame="0" w:color="auto"/>
        <w:right w:val="none" w:sz="0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Arial Unicode MS" w:hAnsi="Arial Unicode MS"/>
      <w:szCs w:val="24"/>
    </w:rPr>
  </w:style>
  <w:style w:type="paragraph" w:styleId="P124">
    <w:name w:val="xl219"/>
    <w:basedOn w:val="P0"/>
    <w:pPr>
      <w:pBdr>
        <w:top w:val="none" w:sz="0" w:space="0" w:shadow="0" w:frame="0" w:color="auto"/>
        <w:left w:val="none" w:sz="0" w:space="0" w:shadow="0" w:frame="0" w:color="auto"/>
        <w:bottom w:val="none" w:sz="0" w:space="0" w:shadow="0" w:frame="0" w:color="auto"/>
        <w:right w:val="single" w:sz="8" w:space="0" w:shadow="0" w:frame="0" w:color="auto"/>
        <w:between w:val="none" w:sz="0" w:space="0" w:shadow="0" w:frame="0" w:color="auto"/>
      </w:pBdr>
      <w:spacing w:before="100" w:after="100" w:beforeAutospacing="1" w:afterAutospacing="1"/>
    </w:pPr>
    <w:rPr>
      <w:rFonts w:ascii="MS Sans Serif" w:hAnsi="MS Sans Serif"/>
      <w:szCs w:val="24"/>
    </w:rPr>
  </w:style>
  <w:style w:type="paragraph" w:styleId="P125">
    <w:name w:val="Balloon Text"/>
    <w:basedOn w:val="P0"/>
    <w:semiHidden/>
    <w:pPr/>
    <w:rPr>
      <w:rFonts w:ascii="Tahoma" w:hAnsi="Tahoma"/>
      <w:sz w:val="16"/>
      <w:szCs w:val="16"/>
    </w:rPr>
  </w:style>
  <w:style w:type="paragraph" w:styleId="P126">
    <w:name w:val="No Spacing"/>
    <w:basedOn w:val="P0"/>
    <w:qFormat/>
    <w:pPr/>
    <w:rPr>
      <w:sz w:val="20"/>
    </w:rPr>
  </w:style>
  <w:style w:type="paragraph" w:styleId="P127">
    <w:name w:val="List Paragraph"/>
    <w:basedOn w:val="P0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  <w:szCs w:val="22"/>
      <w:lang w:eastAsia="en-US"/>
    </w:rPr>
  </w:style>
  <w:style w:type="paragraph" w:styleId="P128">
    <w:name w:val="Normal (Web)"/>
    <w:basedOn w:val="P0"/>
    <w:pPr>
      <w:spacing w:after="20" w:beforeAutospacing="0" w:afterAutospacing="0"/>
      <w:ind w:firstLine="180"/>
      <w:jc w:val="both"/>
    </w:pPr>
    <w:rPr>
      <w:szCs w:val="24"/>
    </w:rPr>
  </w:style>
  <w:style w:type="paragraph" w:styleId="P129">
    <w:name w:val="header"/>
    <w:basedOn w:val="P0"/>
    <w:link w:val="C12"/>
    <w:pPr>
      <w:tabs>
        <w:tab w:val="center" w:pos="4536" w:leader="none"/>
        <w:tab w:val="right" w:pos="9072" w:leader="none"/>
      </w:tabs>
    </w:pPr>
    <w:rPr/>
  </w:style>
  <w:style w:type="paragraph" w:styleId="P130">
    <w:name w:val="annotation text"/>
    <w:basedOn w:val="P0"/>
    <w:link w:val="C14"/>
    <w:pPr/>
    <w:rPr>
      <w:sz w:val="20"/>
    </w:rPr>
  </w:style>
  <w:style w:type="paragraph" w:styleId="P131">
    <w:name w:val="annotation subject"/>
    <w:basedOn w:val="P130"/>
    <w:next w:val="P130"/>
    <w:link w:val="C15"/>
    <w:pPr/>
    <w:rPr>
      <w:b w:val="1"/>
      <w:bCs w:val="1"/>
    </w:rPr>
  </w:style>
  <w:style w:type="paragraph" w:styleId="P132">
    <w:name w:val="Revision"/>
    <w:hidden/>
    <w:semiHidden/>
    <w:pPr/>
    <w:rPr>
      <w:sz w:val="24"/>
    </w:rPr>
  </w:style>
  <w:style w:type="paragraph" w:styleId="P133">
    <w:name w:val="Szövegtörzs 32"/>
    <w:basedOn w:val="P0"/>
    <w:pPr>
      <w:jc w:val="both"/>
    </w:pPr>
    <w:rPr>
      <w:i w:val="1"/>
      <w:bCs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Hiperhivatkozás1"/>
    <w:rPr>
      <w:color w:val="0000FF"/>
      <w:u w:val="single"/>
    </w:rPr>
  </w:style>
  <w:style w:type="character" w:styleId="C5">
    <w:name w:val="Már látott hiperhivatkozás1"/>
    <w:rPr>
      <w:color w:val="800080"/>
      <w:u w:val="single"/>
    </w:rPr>
  </w:style>
  <w:style w:type="character" w:styleId="C6">
    <w:name w:val="footnote reference"/>
    <w:semiHidden/>
    <w:rPr>
      <w:vertAlign w:val="superscript"/>
    </w:rPr>
  </w:style>
  <w:style w:type="character" w:styleId="C7">
    <w:name w:val="endnote reference"/>
    <w:semiHidden/>
    <w:rPr>
      <w:vertAlign w:val="superscript"/>
    </w:rPr>
  </w:style>
  <w:style w:type="character" w:styleId="C8">
    <w:name w:val="Hiperhivatkozás2"/>
    <w:rPr>
      <w:color w:val="0000FF"/>
      <w:u w:val="single"/>
    </w:rPr>
  </w:style>
  <w:style w:type="character" w:styleId="C9">
    <w:name w:val="Már látott hiperhivatkozás2"/>
    <w:rPr>
      <w:color w:val="800080"/>
      <w:u w:val="single"/>
    </w:rPr>
  </w:style>
  <w:style w:type="character" w:styleId="C10">
    <w:name w:val="Szövegtörzs Char"/>
    <w:link w:val="P13"/>
    <w:rPr>
      <w:lang/>
    </w:rPr>
  </w:style>
  <w:style w:type="character" w:styleId="C11">
    <w:name w:val="Élőláb Char"/>
    <w:link w:val="P10"/>
    <w:rPr>
      <w:lang/>
    </w:rPr>
  </w:style>
  <w:style w:type="character" w:styleId="C12">
    <w:name w:val="Élőfej Char"/>
    <w:link w:val="P129"/>
    <w:rPr/>
  </w:style>
  <w:style w:type="character" w:styleId="C13">
    <w:name w:val="annotation reference"/>
    <w:rPr>
      <w:sz w:val="16"/>
      <w:szCs w:val="16"/>
    </w:rPr>
  </w:style>
  <w:style w:type="character" w:styleId="C14">
    <w:name w:val="Jegyzetszöveg Char"/>
    <w:basedOn w:val="C0"/>
    <w:link w:val="P130"/>
    <w:rPr>
      <w:sz w:val="20"/>
    </w:rPr>
  </w:style>
  <w:style w:type="character" w:styleId="C15">
    <w:name w:val="Megjegyzés tárgya Char"/>
    <w:link w:val="P131"/>
    <w:rPr>
      <w:b w:val="1"/>
      <w:bCs w:val="1"/>
    </w:rPr>
  </w:style>
  <w:style w:type="character" w:styleId="C16">
    <w:name w:val="Strong"/>
    <w:basedOn w:val="C0"/>
    <w:qFormat/>
    <w:rPr>
      <w:b w:val="1"/>
      <w:bCs w:val="1"/>
    </w:rPr>
  </w:style>
  <w:style w:type="character" w:styleId="C17">
    <w:name w:val="Feloldatlan megemlítés1"/>
    <w:basedOn w:val="C0"/>
    <w:semiHidden/>
    <w:rPr>
      <w:color w:val="605E5C"/>
      <w:shd w:val="clear" w:color="auto" w:fill="E1DFDD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List 6"/>
    <w:basedOn w:val="T0"/>
    <w:tblPr>
      <w:tblStyleRowBandSize w:val="1"/>
      <w:tblBorders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tblBorders>
    </w:tblPr>
    <w:trPr/>
    <w:tcPr>
      <w:shd w:val="pct50" w:color="000000" w:fill="FFFFFF"/>
    </w:tcPr>
    <w:tblStylePr w:type="band1Horz">
      <w:tblPr/>
      <w:trPr/>
      <w:tcPr>
        <w:shd w:val="pct25" w:color="000000" w:fill="FFFFFF"/>
      </w:tcPr>
    </w:tblStylePr>
    <w:tblStylePr w:type="firstCol">
      <w:rPr>
        <w:b w:val="1"/>
        <w:bCs w:val="1"/>
      </w:rPr>
      <w:tblPr/>
      <w:trPr/>
      <w:tcPr>
        <w:tcBorders>
          <w:right w:val="single" w:sz="12" w:space="0" w:shadow="0" w:frame="0" w:color="000000"/>
        </w:tcBorders>
      </w:tcPr>
    </w:tblStylePr>
    <w:tblStylePr w:type="firstRow">
      <w:rPr>
        <w:b w:val="1"/>
        <w:bCs w:val="1"/>
      </w:rPr>
      <w:tblPr/>
      <w:trPr/>
      <w:tcPr>
        <w:tcBorders>
          <w:bottom w:val="single" w:sz="12" w:space="0" w:shadow="0" w:frame="0" w:color="000000"/>
        </w:tcBorders>
      </w:tcPr>
    </w:tblStylePr>
  </w:style>
  <w:style w:type="table" w:styleId="T3">
    <w:name w:val="Table Contemporary"/>
    <w:basedOn w:val="T0"/>
    <w:tblPr>
      <w:tblStyleRowBandSize w:val="1"/>
      <w:tblBorders>
        <w:insideH w:val="single" w:sz="18" w:space="0" w:shadow="0" w:frame="0" w:color="FFFFFF"/>
        <w:insideV w:val="single" w:sz="18" w:space="0" w:shadow="0" w:frame="0" w:color="FFFFFF"/>
      </w:tblBorders>
    </w:tblPr>
    <w:trPr/>
    <w:tcPr/>
    <w:tblStylePr w:type="band2Horz">
      <w:rPr>
        <w:color w:val="auto"/>
      </w:rPr>
      <w:tblPr/>
      <w:trPr/>
      <w:tcPr>
        <w:shd w:val="pct20" w:color="000000" w:fill="FFFFFF"/>
      </w:tcPr>
    </w:tblStylePr>
    <w:tblStylePr w:type="band1Horz">
      <w:rPr>
        <w:color w:val="auto"/>
      </w:rPr>
      <w:tblPr/>
      <w:trPr/>
      <w:tcPr>
        <w:shd w:val="pct5" w:color="000000" w:fill="FFFFFF"/>
      </w:tcPr>
    </w:tblStylePr>
    <w:tblStylePr w:type="firstRow">
      <w:rPr>
        <w:b w:val="1"/>
        <w:bCs w:val="1"/>
        <w:color w:val="auto"/>
      </w:rPr>
      <w:tblPr/>
      <w:trPr/>
      <w:tcPr>
        <w:shd w:val="pct20" w:color="000000" w:fill="FFFFFF"/>
      </w:tcPr>
    </w:tblStylePr>
  </w:style>
  <w:style w:type="table" w:styleId="T4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Számítástechnikai Iroda</dc:creator>
  <dcterms:created xsi:type="dcterms:W3CDTF">2026-03-02T13:36:00Z</dcterms:created>
  <cp:lastModifiedBy>IIS APPPOOL\Testuleti</cp:lastModifiedBy>
  <cp:lastPrinted>2026-03-02T13:28:00Z</cp:lastPrinted>
  <dcterms:modified xsi:type="dcterms:W3CDTF">2026-03-03T14:10:42Z</dcterms:modified>
  <cp:revision>7</cp:revision>
  <dc:title>Budapest-Zugló Önkormányzata</dc:title>
</cp:coreProperties>
</file>