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38B7E" w14:textId="77777777" w:rsidR="00810429" w:rsidRPr="005C2CBA" w:rsidRDefault="00810429" w:rsidP="00810429">
      <w:pPr>
        <w:autoSpaceDE w:val="0"/>
        <w:autoSpaceDN w:val="0"/>
        <w:adjustRightInd w:val="0"/>
        <w:jc w:val="both"/>
        <w:rPr>
          <w:sz w:val="22"/>
          <w:szCs w:val="22"/>
        </w:rPr>
      </w:pPr>
      <w:bookmarkStart w:id="0" w:name="_GoBack"/>
      <w:bookmarkEnd w:id="0"/>
      <w:r w:rsidRPr="005C2CBA">
        <w:rPr>
          <w:rFonts w:ascii="Calibri" w:hAnsi="Calibri" w:cs="Calibri"/>
          <w:noProof/>
          <w:sz w:val="22"/>
          <w:szCs w:val="22"/>
        </w:rPr>
        <w:drawing>
          <wp:inline distT="0" distB="0" distL="0" distR="0" wp14:anchorId="3355459D" wp14:editId="695C5865">
            <wp:extent cx="828040" cy="56070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040" cy="560705"/>
                    </a:xfrm>
                    <a:prstGeom prst="rect">
                      <a:avLst/>
                    </a:prstGeom>
                    <a:noFill/>
                    <a:ln>
                      <a:noFill/>
                    </a:ln>
                  </pic:spPr>
                </pic:pic>
              </a:graphicData>
            </a:graphic>
          </wp:inline>
        </w:drawing>
      </w:r>
      <w:r w:rsidRPr="005C2CBA">
        <w:rPr>
          <w:b/>
          <w:bCs/>
          <w:color w:val="000000"/>
          <w:sz w:val="22"/>
          <w:szCs w:val="22"/>
        </w:rPr>
        <w:t>Kiegészítés az Európai Unió Hivatalos Lapjához</w:t>
      </w:r>
    </w:p>
    <w:p w14:paraId="44FB185F" w14:textId="77777777" w:rsidR="00810429" w:rsidRPr="005C2CBA" w:rsidRDefault="00810429" w:rsidP="00810429">
      <w:pPr>
        <w:autoSpaceDE w:val="0"/>
        <w:autoSpaceDN w:val="0"/>
        <w:adjustRightInd w:val="0"/>
        <w:jc w:val="both"/>
        <w:rPr>
          <w:sz w:val="18"/>
          <w:szCs w:val="18"/>
        </w:rPr>
      </w:pPr>
      <w:r w:rsidRPr="005C2CBA">
        <w:rPr>
          <w:color w:val="000000"/>
          <w:sz w:val="18"/>
          <w:szCs w:val="18"/>
        </w:rPr>
        <w:t xml:space="preserve">Információ és online formanyomtatványok: </w:t>
      </w:r>
      <w:hyperlink r:id="rId6" w:history="1">
        <w:r w:rsidRPr="005C2CBA">
          <w:rPr>
            <w:color w:val="0066CC"/>
            <w:sz w:val="18"/>
            <w:szCs w:val="18"/>
            <w:u w:val="single"/>
          </w:rPr>
          <w:t>http://</w:t>
        </w:r>
        <w:r w:rsidRPr="005C2CBA">
          <w:rPr>
            <w:b/>
            <w:bCs/>
            <w:vanish/>
            <w:color w:val="0066CC"/>
            <w:sz w:val="18"/>
            <w:szCs w:val="18"/>
          </w:rPr>
          <w:t>HYPERLINK "http://simap.ted.europa.eu/"</w:t>
        </w:r>
        <w:r w:rsidRPr="005C2CBA">
          <w:rPr>
            <w:b/>
            <w:bCs/>
            <w:color w:val="0066CC"/>
            <w:sz w:val="18"/>
            <w:szCs w:val="18"/>
            <w:u w:val="single"/>
          </w:rPr>
          <w:t>simap.ted.europa.eu</w:t>
        </w:r>
      </w:hyperlink>
    </w:p>
    <w:p w14:paraId="6FE2C5CE" w14:textId="77777777" w:rsidR="00810429" w:rsidRPr="005C2CBA" w:rsidRDefault="00810429" w:rsidP="00810429">
      <w:pPr>
        <w:autoSpaceDE w:val="0"/>
        <w:autoSpaceDN w:val="0"/>
        <w:adjustRightInd w:val="0"/>
        <w:jc w:val="both"/>
        <w:rPr>
          <w:sz w:val="22"/>
          <w:szCs w:val="22"/>
        </w:rPr>
      </w:pPr>
    </w:p>
    <w:p w14:paraId="69CB731C" w14:textId="77777777" w:rsidR="00810429" w:rsidRPr="005C2CBA" w:rsidRDefault="00810429" w:rsidP="00810429">
      <w:pPr>
        <w:autoSpaceDE w:val="0"/>
        <w:autoSpaceDN w:val="0"/>
        <w:adjustRightInd w:val="0"/>
        <w:jc w:val="both"/>
        <w:rPr>
          <w:sz w:val="22"/>
          <w:szCs w:val="22"/>
        </w:rPr>
      </w:pPr>
    </w:p>
    <w:p w14:paraId="3D0BDC01" w14:textId="77777777" w:rsidR="00810429" w:rsidRPr="005C2CBA" w:rsidRDefault="00810429" w:rsidP="00810429">
      <w:pPr>
        <w:autoSpaceDE w:val="0"/>
        <w:autoSpaceDN w:val="0"/>
        <w:adjustRightInd w:val="0"/>
        <w:jc w:val="both"/>
        <w:rPr>
          <w:sz w:val="22"/>
          <w:szCs w:val="22"/>
        </w:rPr>
      </w:pPr>
    </w:p>
    <w:p w14:paraId="0B03DC3F" w14:textId="77777777" w:rsidR="00810429" w:rsidRPr="005C2CBA" w:rsidRDefault="00810429" w:rsidP="00810429">
      <w:pPr>
        <w:autoSpaceDE w:val="0"/>
        <w:autoSpaceDN w:val="0"/>
        <w:adjustRightInd w:val="0"/>
        <w:spacing w:before="120" w:after="120"/>
        <w:jc w:val="right"/>
        <w:rPr>
          <w:sz w:val="28"/>
          <w:szCs w:val="28"/>
        </w:rPr>
      </w:pPr>
      <w:r w:rsidRPr="005C2CBA">
        <w:rPr>
          <w:b/>
          <w:bCs/>
          <w:color w:val="000000"/>
          <w:sz w:val="28"/>
          <w:szCs w:val="28"/>
        </w:rPr>
        <w:t>Ajánlati/részvételi felhívás</w:t>
      </w:r>
    </w:p>
    <w:p w14:paraId="2E25141C" w14:textId="77777777" w:rsidR="00810429" w:rsidRPr="005C2CBA" w:rsidRDefault="00810429" w:rsidP="00810429">
      <w:pPr>
        <w:autoSpaceDE w:val="0"/>
        <w:autoSpaceDN w:val="0"/>
        <w:adjustRightInd w:val="0"/>
        <w:spacing w:before="120" w:after="120"/>
        <w:jc w:val="right"/>
        <w:rPr>
          <w:sz w:val="18"/>
          <w:szCs w:val="18"/>
        </w:rPr>
      </w:pPr>
      <w:r w:rsidRPr="005C2CBA">
        <w:rPr>
          <w:sz w:val="18"/>
          <w:szCs w:val="18"/>
        </w:rPr>
        <w:t>2014/24/EU irányelv</w:t>
      </w:r>
    </w:p>
    <w:p w14:paraId="5F814AFD" w14:textId="77777777" w:rsidR="00810429" w:rsidRPr="005C2CBA" w:rsidRDefault="00810429" w:rsidP="00810429">
      <w:pPr>
        <w:autoSpaceDE w:val="0"/>
        <w:autoSpaceDN w:val="0"/>
        <w:adjustRightInd w:val="0"/>
        <w:spacing w:before="120" w:after="120"/>
        <w:rPr>
          <w:sz w:val="22"/>
          <w:szCs w:val="22"/>
        </w:rPr>
      </w:pPr>
    </w:p>
    <w:p w14:paraId="7E26BD6C" w14:textId="77777777" w:rsidR="00810429" w:rsidRPr="005C2CBA" w:rsidRDefault="00810429" w:rsidP="00810429">
      <w:pPr>
        <w:autoSpaceDE w:val="0"/>
        <w:autoSpaceDN w:val="0"/>
        <w:adjustRightInd w:val="0"/>
        <w:spacing w:before="120" w:after="120"/>
        <w:rPr>
          <w:b/>
          <w:bCs/>
          <w:sz w:val="28"/>
          <w:szCs w:val="28"/>
        </w:rPr>
      </w:pPr>
      <w:r w:rsidRPr="005C2CBA">
        <w:rPr>
          <w:b/>
          <w:bCs/>
          <w:sz w:val="28"/>
          <w:szCs w:val="28"/>
        </w:rPr>
        <w:t>I. szakasz: Ajánlatkérő</w:t>
      </w:r>
    </w:p>
    <w:p w14:paraId="2F3DDF8E" w14:textId="77777777" w:rsidR="00810429" w:rsidRPr="005C2CBA" w:rsidRDefault="00810429" w:rsidP="00810429">
      <w:pPr>
        <w:autoSpaceDE w:val="0"/>
        <w:autoSpaceDN w:val="0"/>
        <w:adjustRightInd w:val="0"/>
        <w:spacing w:before="120" w:after="120"/>
        <w:jc w:val="both"/>
        <w:rPr>
          <w:sz w:val="22"/>
          <w:szCs w:val="22"/>
        </w:rPr>
      </w:pPr>
    </w:p>
    <w:p w14:paraId="73B62638" w14:textId="77777777" w:rsidR="00810429" w:rsidRPr="005C2CBA" w:rsidRDefault="00810429" w:rsidP="00810429">
      <w:pPr>
        <w:autoSpaceDE w:val="0"/>
        <w:autoSpaceDN w:val="0"/>
        <w:adjustRightInd w:val="0"/>
        <w:spacing w:before="120" w:after="120"/>
        <w:jc w:val="both"/>
        <w:rPr>
          <w:i/>
          <w:iCs/>
          <w:sz w:val="18"/>
          <w:szCs w:val="18"/>
        </w:rPr>
      </w:pPr>
      <w:r w:rsidRPr="005C2CBA">
        <w:rPr>
          <w:b/>
          <w:bCs/>
          <w:sz w:val="22"/>
          <w:szCs w:val="22"/>
        </w:rPr>
        <w:t>I.1) Név és címek</w:t>
      </w:r>
      <w:r w:rsidRPr="005C2CBA">
        <w:rPr>
          <w:b/>
          <w:bCs/>
        </w:rPr>
        <w:t xml:space="preserve"> </w:t>
      </w:r>
      <w:r w:rsidRPr="005C2CBA">
        <w:rPr>
          <w:b/>
          <w:bCs/>
          <w:sz w:val="18"/>
          <w:szCs w:val="18"/>
          <w:vertAlign w:val="superscript"/>
        </w:rPr>
        <w:t>1</w:t>
      </w:r>
      <w:r w:rsidRPr="005C2CBA">
        <w:rPr>
          <w:b/>
          <w:bCs/>
          <w:sz w:val="20"/>
          <w:szCs w:val="20"/>
        </w:rPr>
        <w:t xml:space="preserve"> </w:t>
      </w:r>
      <w:r w:rsidRPr="005C2CBA">
        <w:rPr>
          <w:i/>
          <w:iCs/>
          <w:sz w:val="18"/>
          <w:szCs w:val="18"/>
        </w:rPr>
        <w:t>(jelölje meg az eljárásért felelős összes ajánlatkérőt)</w:t>
      </w:r>
    </w:p>
    <w:tbl>
      <w:tblPr>
        <w:tblW w:w="0" w:type="auto"/>
        <w:tblInd w:w="-106" w:type="dxa"/>
        <w:tblLayout w:type="fixed"/>
        <w:tblLook w:val="0000" w:firstRow="0" w:lastRow="0" w:firstColumn="0" w:lastColumn="0" w:noHBand="0" w:noVBand="0"/>
      </w:tblPr>
      <w:tblGrid>
        <w:gridCol w:w="2430"/>
        <w:gridCol w:w="2432"/>
        <w:gridCol w:w="2435"/>
        <w:gridCol w:w="2437"/>
      </w:tblGrid>
      <w:tr w:rsidR="00810429" w:rsidRPr="005C2CBA" w14:paraId="5870EB52" w14:textId="77777777" w:rsidTr="0084156F">
        <w:trPr>
          <w:trHeight w:val="1"/>
        </w:trPr>
        <w:tc>
          <w:tcPr>
            <w:tcW w:w="72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DE5382B" w14:textId="77777777" w:rsidR="00810429" w:rsidRPr="005C2CBA" w:rsidRDefault="00810429" w:rsidP="00871970">
            <w:pPr>
              <w:autoSpaceDE w:val="0"/>
              <w:autoSpaceDN w:val="0"/>
              <w:adjustRightInd w:val="0"/>
              <w:spacing w:before="120" w:after="120"/>
              <w:rPr>
                <w:sz w:val="18"/>
                <w:szCs w:val="18"/>
              </w:rPr>
            </w:pPr>
            <w:r w:rsidRPr="005C2CBA">
              <w:rPr>
                <w:sz w:val="18"/>
                <w:szCs w:val="18"/>
              </w:rPr>
              <w:t xml:space="preserve">Hivatalos név: </w:t>
            </w:r>
          </w:p>
          <w:p w14:paraId="4DA88CFB" w14:textId="77777777" w:rsidR="00871970" w:rsidRPr="005C2CBA" w:rsidRDefault="00871970" w:rsidP="00871970">
            <w:pPr>
              <w:autoSpaceDE w:val="0"/>
              <w:autoSpaceDN w:val="0"/>
              <w:adjustRightInd w:val="0"/>
              <w:spacing w:before="120" w:after="120"/>
              <w:rPr>
                <w:b/>
              </w:rPr>
            </w:pPr>
            <w:r w:rsidRPr="005C2CBA">
              <w:rPr>
                <w:b/>
                <w:color w:val="00B0F0"/>
              </w:rPr>
              <w:t xml:space="preserve">Budapest Főváros XIV. Kerület Zugló Önkormányzata </w:t>
            </w:r>
          </w:p>
        </w:tc>
        <w:tc>
          <w:tcPr>
            <w:tcW w:w="2437" w:type="dxa"/>
            <w:tcBorders>
              <w:top w:val="single" w:sz="2" w:space="0" w:color="000000"/>
              <w:left w:val="single" w:sz="2" w:space="0" w:color="000000"/>
              <w:bottom w:val="single" w:sz="2" w:space="0" w:color="000000"/>
              <w:right w:val="single" w:sz="2" w:space="0" w:color="000000"/>
            </w:tcBorders>
            <w:shd w:val="clear" w:color="000000" w:fill="FFFFFF"/>
          </w:tcPr>
          <w:p w14:paraId="56355E56"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 xml:space="preserve">Nemzeti azonosítószám: </w:t>
            </w:r>
            <w:r w:rsidRPr="005C2CBA">
              <w:rPr>
                <w:sz w:val="18"/>
                <w:szCs w:val="18"/>
                <w:vertAlign w:val="superscript"/>
              </w:rPr>
              <w:t>2</w:t>
            </w:r>
            <w:r w:rsidR="00871970" w:rsidRPr="005C2CBA">
              <w:rPr>
                <w:rFonts w:ascii="Calibri" w:hAnsi="Calibri" w:cs="Calibri"/>
              </w:rPr>
              <w:t xml:space="preserve"> AK01257</w:t>
            </w:r>
          </w:p>
        </w:tc>
      </w:tr>
      <w:tr w:rsidR="00810429" w:rsidRPr="005C2CBA" w14:paraId="5609D956" w14:textId="77777777" w:rsidTr="0084156F">
        <w:trPr>
          <w:trHeight w:val="1"/>
        </w:trPr>
        <w:tc>
          <w:tcPr>
            <w:tcW w:w="9734"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F00A012"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Postai cím:</w:t>
            </w:r>
            <w:r w:rsidR="00871970" w:rsidRPr="005C2CBA">
              <w:t xml:space="preserve"> </w:t>
            </w:r>
            <w:r w:rsidR="00871970" w:rsidRPr="005C2CBA">
              <w:rPr>
                <w:b/>
                <w:color w:val="00B0F0"/>
              </w:rPr>
              <w:t>Pétervárad u. 2.</w:t>
            </w:r>
          </w:p>
        </w:tc>
      </w:tr>
      <w:tr w:rsidR="00810429" w:rsidRPr="005C2CBA" w14:paraId="20264DE9" w14:textId="77777777" w:rsidTr="0084156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52E38964"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Város</w:t>
            </w:r>
            <w:r w:rsidRPr="005C2CBA">
              <w:rPr>
                <w:b/>
                <w:color w:val="00B0F0"/>
              </w:rPr>
              <w:t>:</w:t>
            </w:r>
            <w:r w:rsidR="00871970" w:rsidRPr="005C2CBA">
              <w:rPr>
                <w:b/>
                <w:color w:val="00B0F0"/>
              </w:rPr>
              <w:t xml:space="preserve"> Budapest</w:t>
            </w:r>
          </w:p>
        </w:tc>
        <w:tc>
          <w:tcPr>
            <w:tcW w:w="2432" w:type="dxa"/>
            <w:tcBorders>
              <w:top w:val="single" w:sz="2" w:space="0" w:color="000000"/>
              <w:left w:val="single" w:sz="2" w:space="0" w:color="000000"/>
              <w:bottom w:val="single" w:sz="2" w:space="0" w:color="000000"/>
              <w:right w:val="single" w:sz="2" w:space="0" w:color="000000"/>
            </w:tcBorders>
            <w:shd w:val="clear" w:color="000000" w:fill="FFFFFF"/>
          </w:tcPr>
          <w:p w14:paraId="7E1A904D"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NUTS-kód:</w:t>
            </w:r>
          </w:p>
        </w:tc>
        <w:tc>
          <w:tcPr>
            <w:tcW w:w="2435" w:type="dxa"/>
            <w:tcBorders>
              <w:top w:val="single" w:sz="2" w:space="0" w:color="000000"/>
              <w:left w:val="single" w:sz="2" w:space="0" w:color="000000"/>
              <w:bottom w:val="single" w:sz="2" w:space="0" w:color="000000"/>
              <w:right w:val="single" w:sz="2" w:space="0" w:color="000000"/>
            </w:tcBorders>
            <w:shd w:val="clear" w:color="000000" w:fill="FFFFFF"/>
          </w:tcPr>
          <w:p w14:paraId="5C1EC50B"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Postai irányítószám:</w:t>
            </w:r>
            <w:r w:rsidR="00871970" w:rsidRPr="005C2CBA">
              <w:rPr>
                <w:sz w:val="18"/>
                <w:szCs w:val="18"/>
              </w:rPr>
              <w:t xml:space="preserve"> </w:t>
            </w:r>
            <w:r w:rsidR="00871970" w:rsidRPr="005C2CBA">
              <w:rPr>
                <w:b/>
                <w:color w:val="00B0F0"/>
              </w:rPr>
              <w:t>1145</w:t>
            </w:r>
          </w:p>
        </w:tc>
        <w:tc>
          <w:tcPr>
            <w:tcW w:w="2437" w:type="dxa"/>
            <w:tcBorders>
              <w:top w:val="single" w:sz="2" w:space="0" w:color="000000"/>
              <w:left w:val="single" w:sz="2" w:space="0" w:color="000000"/>
              <w:bottom w:val="single" w:sz="2" w:space="0" w:color="000000"/>
              <w:right w:val="single" w:sz="2" w:space="0" w:color="000000"/>
            </w:tcBorders>
            <w:shd w:val="clear" w:color="000000" w:fill="FFFFFF"/>
          </w:tcPr>
          <w:p w14:paraId="237A2691"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Ország:</w:t>
            </w:r>
          </w:p>
        </w:tc>
      </w:tr>
      <w:tr w:rsidR="00810429" w:rsidRPr="005C2CBA" w14:paraId="4BB62091" w14:textId="77777777" w:rsidTr="0084156F">
        <w:trPr>
          <w:trHeight w:val="1"/>
        </w:trPr>
        <w:tc>
          <w:tcPr>
            <w:tcW w:w="72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887B730"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Kapcsolattartó személy:</w:t>
            </w:r>
            <w:r w:rsidR="00871970" w:rsidRPr="005C2CBA">
              <w:rPr>
                <w:sz w:val="18"/>
                <w:szCs w:val="18"/>
              </w:rPr>
              <w:t xml:space="preserve"> </w:t>
            </w:r>
            <w:r w:rsidR="00871970" w:rsidRPr="005C2CBA">
              <w:rPr>
                <w:b/>
                <w:color w:val="00B0F0"/>
              </w:rPr>
              <w:t>Napholcz József</w:t>
            </w:r>
          </w:p>
        </w:tc>
        <w:tc>
          <w:tcPr>
            <w:tcW w:w="2437" w:type="dxa"/>
            <w:tcBorders>
              <w:top w:val="single" w:sz="2" w:space="0" w:color="000000"/>
              <w:left w:val="single" w:sz="2" w:space="0" w:color="000000"/>
              <w:bottom w:val="single" w:sz="2" w:space="0" w:color="000000"/>
              <w:right w:val="single" w:sz="2" w:space="0" w:color="000000"/>
            </w:tcBorders>
            <w:shd w:val="clear" w:color="000000" w:fill="FFFFFF"/>
          </w:tcPr>
          <w:p w14:paraId="098B9A96"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Telefon:</w:t>
            </w:r>
          </w:p>
        </w:tc>
      </w:tr>
      <w:tr w:rsidR="00810429" w:rsidRPr="005C2CBA" w14:paraId="2D801D11" w14:textId="77777777" w:rsidTr="0084156F">
        <w:trPr>
          <w:trHeight w:val="1"/>
        </w:trPr>
        <w:tc>
          <w:tcPr>
            <w:tcW w:w="72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50C3DBC"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E-mail:</w:t>
            </w:r>
          </w:p>
        </w:tc>
        <w:tc>
          <w:tcPr>
            <w:tcW w:w="2437" w:type="dxa"/>
            <w:tcBorders>
              <w:top w:val="single" w:sz="2" w:space="0" w:color="000000"/>
              <w:left w:val="single" w:sz="2" w:space="0" w:color="000000"/>
              <w:bottom w:val="single" w:sz="2" w:space="0" w:color="000000"/>
              <w:right w:val="single" w:sz="2" w:space="0" w:color="000000"/>
            </w:tcBorders>
            <w:shd w:val="clear" w:color="000000" w:fill="FFFFFF"/>
          </w:tcPr>
          <w:p w14:paraId="61A90DB7"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Fax:</w:t>
            </w:r>
          </w:p>
        </w:tc>
      </w:tr>
      <w:tr w:rsidR="00810429" w:rsidRPr="005C2CBA" w14:paraId="503BBC22" w14:textId="77777777" w:rsidTr="0084156F">
        <w:trPr>
          <w:trHeight w:val="1"/>
        </w:trPr>
        <w:tc>
          <w:tcPr>
            <w:tcW w:w="9734"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6E7EB1F" w14:textId="77777777" w:rsidR="00810429" w:rsidRPr="005C2CBA" w:rsidRDefault="00810429" w:rsidP="0084156F">
            <w:pPr>
              <w:autoSpaceDE w:val="0"/>
              <w:autoSpaceDN w:val="0"/>
              <w:adjustRightInd w:val="0"/>
              <w:spacing w:before="120" w:after="120"/>
              <w:rPr>
                <w:b/>
                <w:bCs/>
                <w:sz w:val="18"/>
                <w:szCs w:val="18"/>
              </w:rPr>
            </w:pPr>
            <w:r w:rsidRPr="005C2CBA">
              <w:rPr>
                <w:b/>
                <w:bCs/>
                <w:sz w:val="18"/>
                <w:szCs w:val="18"/>
              </w:rPr>
              <w:t>Internetcím(ek)</w:t>
            </w:r>
          </w:p>
          <w:p w14:paraId="2A33C4DA" w14:textId="77777777" w:rsidR="00810429" w:rsidRPr="005C2CBA" w:rsidRDefault="00810429" w:rsidP="0084156F">
            <w:pPr>
              <w:autoSpaceDE w:val="0"/>
              <w:autoSpaceDN w:val="0"/>
              <w:adjustRightInd w:val="0"/>
              <w:spacing w:before="120" w:after="120"/>
              <w:rPr>
                <w:i/>
                <w:iCs/>
                <w:sz w:val="18"/>
                <w:szCs w:val="18"/>
              </w:rPr>
            </w:pPr>
            <w:r w:rsidRPr="005C2CBA">
              <w:rPr>
                <w:sz w:val="18"/>
                <w:szCs w:val="18"/>
              </w:rPr>
              <w:t xml:space="preserve">Az ajánlatkérő általános címe: </w:t>
            </w:r>
            <w:r w:rsidRPr="005C2CBA">
              <w:rPr>
                <w:i/>
                <w:iCs/>
                <w:sz w:val="18"/>
                <w:szCs w:val="18"/>
              </w:rPr>
              <w:t>(URL)</w:t>
            </w:r>
          </w:p>
          <w:p w14:paraId="1F13A8B4" w14:textId="77777777" w:rsidR="00810429" w:rsidRPr="005C2CBA" w:rsidRDefault="00810429" w:rsidP="0084156F">
            <w:pPr>
              <w:autoSpaceDE w:val="0"/>
              <w:autoSpaceDN w:val="0"/>
              <w:adjustRightInd w:val="0"/>
              <w:spacing w:before="120" w:after="120"/>
              <w:rPr>
                <w:rFonts w:ascii="Calibri" w:hAnsi="Calibri" w:cs="Calibri"/>
              </w:rPr>
            </w:pPr>
            <w:r w:rsidRPr="005C2CBA">
              <w:rPr>
                <w:sz w:val="18"/>
                <w:szCs w:val="18"/>
              </w:rPr>
              <w:t xml:space="preserve">A felhasználói oldal címe: </w:t>
            </w:r>
            <w:r w:rsidRPr="005C2CBA">
              <w:rPr>
                <w:i/>
                <w:iCs/>
                <w:sz w:val="18"/>
                <w:szCs w:val="18"/>
              </w:rPr>
              <w:t>(URL)</w:t>
            </w:r>
          </w:p>
        </w:tc>
      </w:tr>
    </w:tbl>
    <w:p w14:paraId="1EAD4DC7" w14:textId="77777777" w:rsidR="00810429" w:rsidRPr="005C2CBA" w:rsidRDefault="00810429" w:rsidP="00810429">
      <w:pPr>
        <w:autoSpaceDE w:val="0"/>
        <w:autoSpaceDN w:val="0"/>
        <w:adjustRightInd w:val="0"/>
        <w:jc w:val="both"/>
        <w:rPr>
          <w:sz w:val="22"/>
          <w:szCs w:val="22"/>
        </w:rPr>
      </w:pPr>
    </w:p>
    <w:p w14:paraId="798D9492" w14:textId="77777777" w:rsidR="00810429" w:rsidRPr="005C2CBA" w:rsidRDefault="00810429" w:rsidP="00810429">
      <w:pPr>
        <w:autoSpaceDE w:val="0"/>
        <w:autoSpaceDN w:val="0"/>
        <w:adjustRightInd w:val="0"/>
        <w:jc w:val="both"/>
        <w:rPr>
          <w:sz w:val="22"/>
          <w:szCs w:val="22"/>
        </w:rPr>
      </w:pPr>
      <w:r w:rsidRPr="005C2CBA">
        <w:rPr>
          <w:b/>
          <w:bCs/>
          <w:color w:val="000000"/>
          <w:sz w:val="22"/>
          <w:szCs w:val="22"/>
        </w:rPr>
        <w:t>I.2) Közös közbeszerzés</w:t>
      </w:r>
      <w:r w:rsidRPr="005C2CBA">
        <w:rPr>
          <w:b/>
          <w:bCs/>
          <w:sz w:val="22"/>
          <w:szCs w:val="22"/>
        </w:rPr>
        <w:t xml:space="preserve"> </w:t>
      </w:r>
    </w:p>
    <w:tbl>
      <w:tblPr>
        <w:tblW w:w="0" w:type="auto"/>
        <w:tblInd w:w="-106" w:type="dxa"/>
        <w:tblLayout w:type="fixed"/>
        <w:tblLook w:val="0000" w:firstRow="0" w:lastRow="0" w:firstColumn="0" w:lastColumn="0" w:noHBand="0" w:noVBand="0"/>
      </w:tblPr>
      <w:tblGrid>
        <w:gridCol w:w="9734"/>
      </w:tblGrid>
      <w:tr w:rsidR="00810429" w:rsidRPr="005C2CBA" w14:paraId="75154ACC" w14:textId="77777777" w:rsidTr="0084156F">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4789979B" w14:textId="77777777" w:rsidR="00810429" w:rsidRPr="005C2CBA" w:rsidRDefault="00810429" w:rsidP="0084156F">
            <w:pPr>
              <w:autoSpaceDE w:val="0"/>
              <w:autoSpaceDN w:val="0"/>
              <w:adjustRightInd w:val="0"/>
              <w:spacing w:before="120" w:after="120"/>
              <w:ind w:left="60"/>
              <w:jc w:val="both"/>
              <w:rPr>
                <w:sz w:val="18"/>
                <w:szCs w:val="18"/>
              </w:rPr>
            </w:pPr>
            <w:r w:rsidRPr="005C2CBA">
              <w:rPr>
                <w:sz w:val="18"/>
                <w:szCs w:val="18"/>
              </w:rPr>
              <w:t xml:space="preserve"> A szerződés közös közbeszerzés formájában valósul meg.</w:t>
            </w:r>
          </w:p>
          <w:p w14:paraId="0489E4D0" w14:textId="77777777" w:rsidR="00810429" w:rsidRPr="005C2CBA" w:rsidRDefault="00810429" w:rsidP="0084156F">
            <w:pPr>
              <w:autoSpaceDE w:val="0"/>
              <w:autoSpaceDN w:val="0"/>
              <w:adjustRightInd w:val="0"/>
              <w:spacing w:before="120" w:after="120"/>
              <w:ind w:left="284"/>
              <w:jc w:val="both"/>
              <w:rPr>
                <w:sz w:val="18"/>
                <w:szCs w:val="18"/>
              </w:rPr>
            </w:pPr>
            <w:r w:rsidRPr="005C2CBA">
              <w:rPr>
                <w:sz w:val="18"/>
                <w:szCs w:val="18"/>
              </w:rPr>
              <w:t>Több ország részvételével megvalósuló közös közbeszerzés esetében - az alkalmazandó nemzeti közbeszerzési jogszabály:</w:t>
            </w:r>
          </w:p>
          <w:p w14:paraId="391BA853" w14:textId="77777777" w:rsidR="00810429" w:rsidRPr="005C2CBA" w:rsidRDefault="00810429" w:rsidP="0084156F">
            <w:pPr>
              <w:autoSpaceDE w:val="0"/>
              <w:autoSpaceDN w:val="0"/>
              <w:adjustRightInd w:val="0"/>
              <w:spacing w:before="120" w:after="120"/>
              <w:ind w:left="60"/>
              <w:jc w:val="both"/>
              <w:rPr>
                <w:rFonts w:ascii="Calibri" w:hAnsi="Calibri" w:cs="Calibri"/>
              </w:rPr>
            </w:pPr>
            <w:r w:rsidRPr="005C2CBA">
              <w:rPr>
                <w:sz w:val="18"/>
                <w:szCs w:val="18"/>
              </w:rPr>
              <w:t xml:space="preserve"> A szerződést központi beszerző szerv ítéli oda.</w:t>
            </w:r>
          </w:p>
        </w:tc>
      </w:tr>
    </w:tbl>
    <w:p w14:paraId="4CE35B5C" w14:textId="77777777" w:rsidR="00810429" w:rsidRPr="005C2CBA" w:rsidRDefault="00810429" w:rsidP="00810429">
      <w:pPr>
        <w:autoSpaceDE w:val="0"/>
        <w:autoSpaceDN w:val="0"/>
        <w:adjustRightInd w:val="0"/>
        <w:jc w:val="both"/>
        <w:rPr>
          <w:sz w:val="22"/>
          <w:szCs w:val="22"/>
        </w:rPr>
      </w:pPr>
    </w:p>
    <w:p w14:paraId="4934BDF3" w14:textId="77777777" w:rsidR="00810429" w:rsidRPr="005C2CBA" w:rsidRDefault="00810429" w:rsidP="00810429">
      <w:pPr>
        <w:autoSpaceDE w:val="0"/>
        <w:autoSpaceDN w:val="0"/>
        <w:adjustRightInd w:val="0"/>
        <w:spacing w:before="120" w:after="120"/>
        <w:jc w:val="both"/>
        <w:rPr>
          <w:b/>
          <w:bCs/>
          <w:sz w:val="22"/>
          <w:szCs w:val="22"/>
        </w:rPr>
      </w:pPr>
      <w:r w:rsidRPr="005C2CBA">
        <w:rPr>
          <w:b/>
          <w:bCs/>
          <w:sz w:val="22"/>
          <w:szCs w:val="22"/>
        </w:rPr>
        <w:t>I.3) Kommunikáció</w:t>
      </w:r>
    </w:p>
    <w:tbl>
      <w:tblPr>
        <w:tblW w:w="9734" w:type="dxa"/>
        <w:tblInd w:w="-106" w:type="dxa"/>
        <w:tblLayout w:type="fixed"/>
        <w:tblLook w:val="0000" w:firstRow="0" w:lastRow="0" w:firstColumn="0" w:lastColumn="0" w:noHBand="0" w:noVBand="0"/>
      </w:tblPr>
      <w:tblGrid>
        <w:gridCol w:w="9734"/>
      </w:tblGrid>
      <w:tr w:rsidR="00810429" w:rsidRPr="005C2CBA" w14:paraId="24430FE4" w14:textId="77777777" w:rsidTr="00871970">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0767F1D7" w14:textId="77777777" w:rsidR="00871970" w:rsidRPr="005C2CBA" w:rsidRDefault="00871970" w:rsidP="00871970">
            <w:pPr>
              <w:autoSpaceDE w:val="0"/>
              <w:autoSpaceDN w:val="0"/>
              <w:adjustRightInd w:val="0"/>
              <w:spacing w:before="120" w:after="120"/>
              <w:jc w:val="both"/>
              <w:rPr>
                <w:sz w:val="18"/>
                <w:szCs w:val="18"/>
              </w:rPr>
            </w:pPr>
            <w:r w:rsidRPr="005C2CBA">
              <w:rPr>
                <w:sz w:val="18"/>
                <w:szCs w:val="18"/>
              </w:rPr>
              <w:t>A közbeszerzési dokumentáció korlátozás nélkül, teljes körűen, közvetlenül és díjmentesen elérhető a következő címen:</w:t>
            </w:r>
          </w:p>
          <w:p w14:paraId="39B5816C" w14:textId="77777777" w:rsidR="00871970" w:rsidRPr="005C2CBA" w:rsidRDefault="00871970" w:rsidP="00871970">
            <w:pPr>
              <w:autoSpaceDE w:val="0"/>
              <w:autoSpaceDN w:val="0"/>
              <w:adjustRightInd w:val="0"/>
              <w:spacing w:before="120" w:after="120"/>
              <w:jc w:val="both"/>
              <w:rPr>
                <w:b/>
                <w:color w:val="00B0F0"/>
              </w:rPr>
            </w:pPr>
            <w:r w:rsidRPr="005C2CBA">
              <w:rPr>
                <w:b/>
                <w:color w:val="00B0F0"/>
              </w:rPr>
              <w:t xml:space="preserve"> https://ekr.gov.hu/portal/kozbeszerzes/eljarasok/EKR............./reszletek</w:t>
            </w:r>
          </w:p>
          <w:p w14:paraId="0332EE8B" w14:textId="77777777" w:rsidR="00871970" w:rsidRPr="005C2CBA" w:rsidRDefault="00871970" w:rsidP="00871970">
            <w:pPr>
              <w:autoSpaceDE w:val="0"/>
              <w:autoSpaceDN w:val="0"/>
              <w:adjustRightInd w:val="0"/>
              <w:spacing w:before="120" w:after="120"/>
              <w:jc w:val="both"/>
              <w:rPr>
                <w:sz w:val="18"/>
                <w:szCs w:val="18"/>
              </w:rPr>
            </w:pPr>
            <w:r w:rsidRPr="005C2CBA">
              <w:rPr>
                <w:sz w:val="18"/>
                <w:szCs w:val="18"/>
              </w:rPr>
              <w:t>További információ a következő címen szerezhető be a fent említett cím</w:t>
            </w:r>
          </w:p>
          <w:p w14:paraId="53F609F6" w14:textId="77777777" w:rsidR="00871970" w:rsidRPr="005C2CBA" w:rsidRDefault="00871970" w:rsidP="00871970">
            <w:pPr>
              <w:autoSpaceDE w:val="0"/>
              <w:autoSpaceDN w:val="0"/>
              <w:adjustRightInd w:val="0"/>
              <w:spacing w:before="120" w:after="120"/>
              <w:jc w:val="both"/>
              <w:rPr>
                <w:sz w:val="18"/>
                <w:szCs w:val="18"/>
              </w:rPr>
            </w:pPr>
            <w:r w:rsidRPr="005C2CBA">
              <w:rPr>
                <w:sz w:val="18"/>
                <w:szCs w:val="18"/>
              </w:rPr>
              <w:t>Az ajánlat vagy részvételi jelentkezés benyújtandó elektronikusan:</w:t>
            </w:r>
          </w:p>
          <w:p w14:paraId="20E8F671" w14:textId="77777777" w:rsidR="00810429" w:rsidRPr="005C2CBA" w:rsidRDefault="00871970" w:rsidP="00871970">
            <w:pPr>
              <w:autoSpaceDE w:val="0"/>
              <w:autoSpaceDN w:val="0"/>
              <w:adjustRightInd w:val="0"/>
              <w:spacing w:before="120" w:after="120"/>
              <w:jc w:val="both"/>
              <w:rPr>
                <w:rFonts w:ascii="Calibri" w:eastAsia="MS Mincho" w:hAnsi="Calibri"/>
              </w:rPr>
            </w:pPr>
            <w:r w:rsidRPr="005C2CBA">
              <w:rPr>
                <w:b/>
                <w:color w:val="00B0F0"/>
              </w:rPr>
              <w:t xml:space="preserve"> https://ekr.gov.hu/portal/kozbeszerzes/eljarasok/EKR......................./reszletek</w:t>
            </w:r>
          </w:p>
        </w:tc>
      </w:tr>
      <w:tr w:rsidR="00810429" w:rsidRPr="005C2CBA" w14:paraId="1BEF6D75" w14:textId="77777777" w:rsidTr="00871970">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3BC55234" w14:textId="77777777" w:rsidR="00810429" w:rsidRPr="005C2CBA" w:rsidRDefault="00810429" w:rsidP="0084156F">
            <w:pPr>
              <w:autoSpaceDE w:val="0"/>
              <w:autoSpaceDN w:val="0"/>
              <w:adjustRightInd w:val="0"/>
              <w:spacing w:before="120" w:after="120"/>
              <w:jc w:val="both"/>
              <w:rPr>
                <w:rFonts w:ascii="Calibri" w:eastAsia="MS Mincho" w:hAnsi="Calibri"/>
              </w:rPr>
            </w:pPr>
          </w:p>
        </w:tc>
      </w:tr>
    </w:tbl>
    <w:p w14:paraId="4B46EFCE" w14:textId="77777777" w:rsidR="00810429" w:rsidRPr="005C2CBA" w:rsidRDefault="00810429" w:rsidP="00810429">
      <w:pPr>
        <w:autoSpaceDE w:val="0"/>
        <w:autoSpaceDN w:val="0"/>
        <w:adjustRightInd w:val="0"/>
        <w:jc w:val="both"/>
        <w:rPr>
          <w:rFonts w:eastAsia="MS Mincho"/>
          <w:sz w:val="22"/>
          <w:szCs w:val="22"/>
        </w:rPr>
      </w:pPr>
    </w:p>
    <w:p w14:paraId="7B6A848E"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I.4) Az ajánlatkérő típusa</w:t>
      </w:r>
    </w:p>
    <w:tbl>
      <w:tblPr>
        <w:tblW w:w="0" w:type="auto"/>
        <w:tblInd w:w="-106" w:type="dxa"/>
        <w:tblLayout w:type="fixed"/>
        <w:tblLook w:val="0000" w:firstRow="0" w:lastRow="0" w:firstColumn="0" w:lastColumn="0" w:noHBand="0" w:noVBand="0"/>
      </w:tblPr>
      <w:tblGrid>
        <w:gridCol w:w="4865"/>
        <w:gridCol w:w="4869"/>
      </w:tblGrid>
      <w:tr w:rsidR="00810429" w:rsidRPr="005C2CBA" w14:paraId="67F35DC9" w14:textId="77777777" w:rsidTr="0084156F">
        <w:trPr>
          <w:trHeight w:val="1"/>
        </w:trPr>
        <w:tc>
          <w:tcPr>
            <w:tcW w:w="4865" w:type="dxa"/>
            <w:tcBorders>
              <w:top w:val="single" w:sz="2" w:space="0" w:color="000000"/>
              <w:left w:val="single" w:sz="2" w:space="0" w:color="000000"/>
              <w:bottom w:val="single" w:sz="2" w:space="0" w:color="000000"/>
              <w:right w:val="single" w:sz="2" w:space="0" w:color="000000"/>
            </w:tcBorders>
            <w:shd w:val="clear" w:color="000000" w:fill="FFFFFF"/>
          </w:tcPr>
          <w:p w14:paraId="406C29CE"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Minisztérium vagy egyéb nemzeti vagy szövetségi hatóság, valamint regionális vagy helyi részlegeik</w:t>
            </w:r>
          </w:p>
          <w:p w14:paraId="108CA52C"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Nemzeti vagy szövetségi iroda/hivatal</w:t>
            </w:r>
          </w:p>
          <w:p w14:paraId="7EA93A95" w14:textId="77777777" w:rsidR="00810429" w:rsidRPr="005C2CBA" w:rsidRDefault="00871970" w:rsidP="0084156F">
            <w:pPr>
              <w:autoSpaceDE w:val="0"/>
              <w:autoSpaceDN w:val="0"/>
              <w:adjustRightInd w:val="0"/>
              <w:spacing w:before="120" w:after="120"/>
              <w:rPr>
                <w:rFonts w:ascii="Calibri" w:eastAsia="MS Mincho" w:hAnsi="Calibri"/>
              </w:rPr>
            </w:pPr>
            <w:r w:rsidRPr="005C2CBA">
              <w:rPr>
                <w:b/>
                <w:color w:val="00B0F0"/>
              </w:rPr>
              <w:t xml:space="preserve">X </w:t>
            </w:r>
            <w:r w:rsidR="00810429" w:rsidRPr="005C2CBA">
              <w:rPr>
                <w:b/>
                <w:color w:val="00B0F0"/>
              </w:rPr>
              <w:t>Regionális vagy helyi hatóság</w:t>
            </w:r>
          </w:p>
        </w:tc>
        <w:tc>
          <w:tcPr>
            <w:tcW w:w="4869" w:type="dxa"/>
            <w:tcBorders>
              <w:top w:val="single" w:sz="2" w:space="0" w:color="000000"/>
              <w:left w:val="single" w:sz="2" w:space="0" w:color="000000"/>
              <w:bottom w:val="single" w:sz="2" w:space="0" w:color="000000"/>
              <w:right w:val="single" w:sz="2" w:space="0" w:color="000000"/>
            </w:tcBorders>
            <w:shd w:val="clear" w:color="000000" w:fill="FFFFFF"/>
          </w:tcPr>
          <w:p w14:paraId="3D396FC6"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hAnsi="Calibri" w:cs="MS Mincho"/>
                <w:sz w:val="18"/>
                <w:szCs w:val="18"/>
              </w:rPr>
              <w:t>◯</w:t>
            </w:r>
            <w:r w:rsidRPr="005C2CBA">
              <w:rPr>
                <w:rFonts w:eastAsia="MS Mincho"/>
                <w:sz w:val="18"/>
                <w:szCs w:val="18"/>
              </w:rPr>
              <w:t xml:space="preserve"> Regionális vagy helyi iroda/hivatal</w:t>
            </w:r>
          </w:p>
          <w:p w14:paraId="5F81CC54"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hAnsi="MS Mincho" w:cs="MS Mincho"/>
                <w:sz w:val="18"/>
                <w:szCs w:val="18"/>
              </w:rPr>
              <w:t>◯</w:t>
            </w:r>
            <w:r w:rsidRPr="005C2CBA">
              <w:rPr>
                <w:rFonts w:eastAsia="MS Mincho"/>
                <w:sz w:val="18"/>
                <w:szCs w:val="18"/>
              </w:rPr>
              <w:t xml:space="preserve"> Közjogi intézmény</w:t>
            </w:r>
          </w:p>
          <w:p w14:paraId="1188A4B6"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Európai intézmény/ügynökség vagy nemzetközi szervezet</w:t>
            </w:r>
          </w:p>
          <w:p w14:paraId="422386B3"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ascii="MS Mincho" w:eastAsia="MS Mincho" w:cs="MS Mincho"/>
                <w:sz w:val="18"/>
                <w:szCs w:val="18"/>
              </w:rPr>
              <w:t>◯</w:t>
            </w:r>
            <w:r w:rsidRPr="005C2CBA">
              <w:rPr>
                <w:rFonts w:eastAsia="MS Mincho"/>
                <w:sz w:val="18"/>
                <w:szCs w:val="18"/>
              </w:rPr>
              <w:t>Egyéb típus:</w:t>
            </w:r>
          </w:p>
        </w:tc>
      </w:tr>
    </w:tbl>
    <w:p w14:paraId="7E61E346" w14:textId="77777777" w:rsidR="00810429" w:rsidRPr="005C2CBA" w:rsidRDefault="00810429" w:rsidP="00810429">
      <w:pPr>
        <w:autoSpaceDE w:val="0"/>
        <w:autoSpaceDN w:val="0"/>
        <w:adjustRightInd w:val="0"/>
        <w:jc w:val="both"/>
        <w:rPr>
          <w:rFonts w:eastAsia="MS Mincho"/>
          <w:sz w:val="22"/>
          <w:szCs w:val="22"/>
        </w:rPr>
      </w:pPr>
    </w:p>
    <w:p w14:paraId="0C58ECEB"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I.5) Fő tevékenység</w:t>
      </w:r>
    </w:p>
    <w:tbl>
      <w:tblPr>
        <w:tblW w:w="0" w:type="auto"/>
        <w:tblInd w:w="-106" w:type="dxa"/>
        <w:tblLayout w:type="fixed"/>
        <w:tblLook w:val="0000" w:firstRow="0" w:lastRow="0" w:firstColumn="0" w:lastColumn="0" w:noHBand="0" w:noVBand="0"/>
      </w:tblPr>
      <w:tblGrid>
        <w:gridCol w:w="4867"/>
        <w:gridCol w:w="4867"/>
      </w:tblGrid>
      <w:tr w:rsidR="00810429" w:rsidRPr="005C2CBA" w14:paraId="51413067" w14:textId="77777777" w:rsidTr="0084156F">
        <w:trPr>
          <w:trHeight w:val="1"/>
        </w:trPr>
        <w:tc>
          <w:tcPr>
            <w:tcW w:w="4867" w:type="dxa"/>
            <w:tcBorders>
              <w:top w:val="single" w:sz="2" w:space="0" w:color="000000"/>
              <w:left w:val="single" w:sz="2" w:space="0" w:color="000000"/>
              <w:bottom w:val="single" w:sz="2" w:space="0" w:color="000000"/>
              <w:right w:val="single" w:sz="2" w:space="0" w:color="000000"/>
            </w:tcBorders>
            <w:shd w:val="clear" w:color="000000" w:fill="FFFFFF"/>
          </w:tcPr>
          <w:p w14:paraId="4A85A9D8" w14:textId="77777777" w:rsidR="00810429" w:rsidRPr="005C2CBA" w:rsidRDefault="00871970" w:rsidP="0084156F">
            <w:pPr>
              <w:autoSpaceDE w:val="0"/>
              <w:autoSpaceDN w:val="0"/>
              <w:adjustRightInd w:val="0"/>
              <w:spacing w:before="120" w:after="120"/>
              <w:rPr>
                <w:b/>
                <w:color w:val="00B0F0"/>
              </w:rPr>
            </w:pPr>
            <w:r w:rsidRPr="005C2CBA">
              <w:rPr>
                <w:b/>
                <w:color w:val="00B0F0"/>
              </w:rPr>
              <w:t xml:space="preserve">X </w:t>
            </w:r>
            <w:r w:rsidR="00810429" w:rsidRPr="005C2CBA">
              <w:rPr>
                <w:b/>
                <w:color w:val="00B0F0"/>
              </w:rPr>
              <w:t>Általános közszolgáltatások</w:t>
            </w:r>
          </w:p>
          <w:p w14:paraId="04D19F56"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Honvédelem</w:t>
            </w:r>
          </w:p>
          <w:p w14:paraId="78DA4DE0"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Közrend és biztonság</w:t>
            </w:r>
          </w:p>
          <w:p w14:paraId="69EA8DF2"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Környezetvédelem</w:t>
            </w:r>
          </w:p>
          <w:p w14:paraId="66547B9E"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Gazdasági és pénzügyek</w:t>
            </w:r>
          </w:p>
          <w:p w14:paraId="52173C2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ascii="MS Mincho" w:eastAsia="MS Mincho" w:cs="MS Mincho"/>
                <w:sz w:val="18"/>
                <w:szCs w:val="18"/>
              </w:rPr>
              <w:t>◯</w:t>
            </w:r>
            <w:r w:rsidRPr="005C2CBA">
              <w:rPr>
                <w:rFonts w:eastAsia="MS Mincho"/>
                <w:sz w:val="18"/>
                <w:szCs w:val="18"/>
              </w:rPr>
              <w:t xml:space="preserve"> Egészségügy</w:t>
            </w:r>
          </w:p>
        </w:tc>
        <w:tc>
          <w:tcPr>
            <w:tcW w:w="4867" w:type="dxa"/>
            <w:tcBorders>
              <w:top w:val="single" w:sz="2" w:space="0" w:color="000000"/>
              <w:left w:val="single" w:sz="2" w:space="0" w:color="000000"/>
              <w:bottom w:val="single" w:sz="2" w:space="0" w:color="000000"/>
              <w:right w:val="single" w:sz="2" w:space="0" w:color="000000"/>
            </w:tcBorders>
            <w:shd w:val="clear" w:color="000000" w:fill="FFFFFF"/>
          </w:tcPr>
          <w:p w14:paraId="606BA99D"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hAnsi="Calibri" w:cs="MS Mincho"/>
                <w:sz w:val="18"/>
                <w:szCs w:val="18"/>
              </w:rPr>
              <w:t>◯</w:t>
            </w:r>
            <w:r w:rsidRPr="005C2CBA">
              <w:rPr>
                <w:rFonts w:eastAsia="MS Mincho"/>
                <w:sz w:val="18"/>
                <w:szCs w:val="18"/>
              </w:rPr>
              <w:t xml:space="preserve"> Lakásszolgáltatás és közösségi rekreáció</w:t>
            </w:r>
          </w:p>
          <w:p w14:paraId="1D56D922"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Szociális védelem</w:t>
            </w:r>
          </w:p>
          <w:p w14:paraId="27D4B2D0"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Szabadidő, kultúra és vallás</w:t>
            </w:r>
          </w:p>
          <w:p w14:paraId="25DC97A7"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Oktatás</w:t>
            </w:r>
          </w:p>
          <w:p w14:paraId="1AB29D17"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ascii="MS Mincho" w:eastAsia="MS Mincho" w:cs="MS Mincho"/>
                <w:sz w:val="18"/>
                <w:szCs w:val="18"/>
              </w:rPr>
              <w:t>◯</w:t>
            </w:r>
            <w:r w:rsidRPr="005C2CBA">
              <w:rPr>
                <w:rFonts w:eastAsia="MS Mincho"/>
                <w:sz w:val="18"/>
                <w:szCs w:val="18"/>
              </w:rPr>
              <w:t xml:space="preserve"> Egyéb tevékenység:</w:t>
            </w:r>
          </w:p>
        </w:tc>
      </w:tr>
    </w:tbl>
    <w:p w14:paraId="4CEAD056" w14:textId="77777777" w:rsidR="00810429" w:rsidRPr="005C2CBA" w:rsidRDefault="00810429" w:rsidP="00810429">
      <w:pPr>
        <w:autoSpaceDE w:val="0"/>
        <w:autoSpaceDN w:val="0"/>
        <w:adjustRightInd w:val="0"/>
        <w:jc w:val="both"/>
        <w:rPr>
          <w:rFonts w:eastAsia="MS Mincho"/>
          <w:sz w:val="22"/>
          <w:szCs w:val="22"/>
        </w:rPr>
      </w:pPr>
    </w:p>
    <w:p w14:paraId="674742D0" w14:textId="77777777" w:rsidR="00810429" w:rsidRPr="005C2CBA" w:rsidRDefault="00810429" w:rsidP="00810429">
      <w:pPr>
        <w:autoSpaceDE w:val="0"/>
        <w:autoSpaceDN w:val="0"/>
        <w:adjustRightInd w:val="0"/>
        <w:spacing w:before="120" w:after="120"/>
        <w:rPr>
          <w:rFonts w:eastAsia="MS Mincho"/>
          <w:b/>
          <w:bCs/>
          <w:sz w:val="28"/>
          <w:szCs w:val="28"/>
        </w:rPr>
      </w:pPr>
      <w:r w:rsidRPr="005C2CBA">
        <w:rPr>
          <w:rFonts w:eastAsia="MS Mincho"/>
          <w:b/>
          <w:bCs/>
          <w:sz w:val="28"/>
          <w:szCs w:val="28"/>
        </w:rPr>
        <w:t>II. szakasz: Tárgy</w:t>
      </w:r>
    </w:p>
    <w:p w14:paraId="33DB2205" w14:textId="77777777" w:rsidR="00810429" w:rsidRPr="005C2CBA" w:rsidRDefault="00810429" w:rsidP="00810429">
      <w:pPr>
        <w:autoSpaceDE w:val="0"/>
        <w:autoSpaceDN w:val="0"/>
        <w:adjustRightInd w:val="0"/>
        <w:spacing w:before="120" w:after="120"/>
        <w:jc w:val="both"/>
        <w:rPr>
          <w:rFonts w:eastAsia="MS Mincho"/>
          <w:b/>
          <w:bCs/>
          <w:sz w:val="22"/>
          <w:szCs w:val="22"/>
        </w:rPr>
      </w:pPr>
    </w:p>
    <w:p w14:paraId="78B4E857"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II.1) A beszerzés mennyisége</w:t>
      </w:r>
    </w:p>
    <w:tbl>
      <w:tblPr>
        <w:tblW w:w="0" w:type="auto"/>
        <w:tblInd w:w="-106" w:type="dxa"/>
        <w:tblLayout w:type="fixed"/>
        <w:tblLook w:val="0000" w:firstRow="0" w:lastRow="0" w:firstColumn="0" w:lastColumn="0" w:noHBand="0" w:noVBand="0"/>
      </w:tblPr>
      <w:tblGrid>
        <w:gridCol w:w="7161"/>
        <w:gridCol w:w="2573"/>
      </w:tblGrid>
      <w:tr w:rsidR="00810429" w:rsidRPr="005C2CBA" w14:paraId="5188CF22" w14:textId="77777777" w:rsidTr="0084156F">
        <w:trPr>
          <w:trHeight w:val="1"/>
        </w:trPr>
        <w:tc>
          <w:tcPr>
            <w:tcW w:w="7161" w:type="dxa"/>
            <w:tcBorders>
              <w:top w:val="single" w:sz="2" w:space="0" w:color="000000"/>
              <w:left w:val="single" w:sz="2" w:space="0" w:color="000000"/>
              <w:bottom w:val="single" w:sz="2" w:space="0" w:color="000000"/>
              <w:right w:val="single" w:sz="2" w:space="0" w:color="000000"/>
            </w:tcBorders>
            <w:shd w:val="clear" w:color="000000" w:fill="FFFFFF"/>
          </w:tcPr>
          <w:p w14:paraId="4F42393B" w14:textId="0E155E20"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sz w:val="18"/>
                <w:szCs w:val="18"/>
              </w:rPr>
              <w:t xml:space="preserve">II.1.1) Elnevezés: </w:t>
            </w:r>
            <w:r w:rsidRPr="005C2CBA">
              <w:rPr>
                <w:b/>
                <w:color w:val="00B0F0"/>
              </w:rPr>
              <w:t>Parkoló</w:t>
            </w:r>
            <w:r w:rsidR="005C2CBA" w:rsidRPr="005C2CBA">
              <w:rPr>
                <w:b/>
                <w:color w:val="00B0F0"/>
              </w:rPr>
              <w:t xml:space="preserve"> </w:t>
            </w:r>
            <w:r w:rsidRPr="005C2CBA">
              <w:rPr>
                <w:b/>
                <w:color w:val="00B0F0"/>
              </w:rPr>
              <w:t>automaták beszerzése és folyamatos üzemeletetése (karbantartása)</w:t>
            </w:r>
            <w:r w:rsidRPr="005C2CBA">
              <w:rPr>
                <w:rFonts w:eastAsia="MS Mincho"/>
                <w:sz w:val="18"/>
                <w:szCs w:val="18"/>
              </w:rPr>
              <w:t xml:space="preserve">   </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14:paraId="3A9A6E5E"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Hivatkozási szám: </w:t>
            </w:r>
            <w:r w:rsidRPr="005C2CBA">
              <w:rPr>
                <w:rFonts w:eastAsia="MS Mincho"/>
                <w:b/>
                <w:bCs/>
                <w:sz w:val="18"/>
                <w:szCs w:val="18"/>
                <w:vertAlign w:val="superscript"/>
              </w:rPr>
              <w:t>2</w:t>
            </w:r>
          </w:p>
        </w:tc>
      </w:tr>
      <w:tr w:rsidR="00810429" w:rsidRPr="005C2CBA" w14:paraId="12FBC0DF"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87F340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sz w:val="18"/>
                <w:szCs w:val="18"/>
              </w:rPr>
              <w:t>II.1.2) Fő CPV-kód:</w:t>
            </w:r>
            <w:r w:rsidRPr="005C2CBA">
              <w:rPr>
                <w:rFonts w:eastAsia="MS Mincho"/>
                <w:sz w:val="18"/>
                <w:szCs w:val="18"/>
              </w:rPr>
              <w:t xml:space="preserve"> </w:t>
            </w:r>
            <w:r w:rsidRPr="005C2CBA">
              <w:rPr>
                <w:b/>
                <w:color w:val="00B0F0"/>
              </w:rPr>
              <w:t>98351000-8</w:t>
            </w:r>
            <w:r w:rsidRPr="005C2CBA">
              <w:rPr>
                <w:rFonts w:ascii="Helvetica" w:eastAsia="MS Mincho" w:hAnsi="Helvetica" w:cs="Helvetica"/>
                <w:b/>
                <w:bCs/>
                <w:color w:val="336699"/>
                <w:sz w:val="12"/>
                <w:szCs w:val="12"/>
              </w:rPr>
              <w:t xml:space="preserve"> </w:t>
            </w:r>
            <w:r w:rsidRPr="005C2CBA">
              <w:rPr>
                <w:rFonts w:eastAsia="MS Mincho"/>
                <w:sz w:val="18"/>
                <w:szCs w:val="18"/>
              </w:rPr>
              <w:t xml:space="preserve">Kiegészítő CPV-kód: </w:t>
            </w:r>
            <w:r w:rsidRPr="005C2CBA">
              <w:rPr>
                <w:rFonts w:eastAsia="MS Mincho"/>
                <w:b/>
                <w:bCs/>
                <w:sz w:val="18"/>
                <w:szCs w:val="18"/>
                <w:vertAlign w:val="superscript"/>
              </w:rPr>
              <w:t>1, 2</w:t>
            </w:r>
            <w:r w:rsidRPr="005C2CBA">
              <w:rPr>
                <w:rFonts w:eastAsia="MS Mincho"/>
                <w:sz w:val="18"/>
                <w:szCs w:val="18"/>
              </w:rPr>
              <w:t xml:space="preserve"> [ ][ ][ ][ ]</w:t>
            </w:r>
          </w:p>
        </w:tc>
      </w:tr>
      <w:tr w:rsidR="00810429" w:rsidRPr="005C2CBA" w14:paraId="562045B4"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F22D3B2"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sz w:val="18"/>
                <w:szCs w:val="18"/>
              </w:rPr>
              <w:t>II.1.3) A szerződés típusa</w:t>
            </w:r>
            <w:r w:rsidRPr="005C2CBA">
              <w:rPr>
                <w:rFonts w:eastAsia="MS Mincho"/>
                <w:sz w:val="18"/>
                <w:szCs w:val="18"/>
              </w:rPr>
              <w:t xml:space="preserve"> </w:t>
            </w:r>
            <w:r w:rsidRPr="005C2CBA">
              <w:rPr>
                <w:rFonts w:ascii="MS Mincho" w:eastAsia="MS Mincho" w:hAnsi="MS Mincho" w:cs="MS Mincho"/>
                <w:sz w:val="18"/>
                <w:szCs w:val="18"/>
              </w:rPr>
              <w:t>◯</w:t>
            </w:r>
            <w:r w:rsidRPr="005C2CBA">
              <w:rPr>
                <w:rFonts w:eastAsia="MS Mincho"/>
                <w:sz w:val="18"/>
                <w:szCs w:val="18"/>
              </w:rPr>
              <w:t xml:space="preserve"> Építési beruházás </w:t>
            </w:r>
            <w:r w:rsidRPr="005C2CBA">
              <w:rPr>
                <w:rFonts w:ascii="MS Mincho" w:eastAsia="MS Mincho" w:hAnsi="MS Mincho" w:cs="MS Mincho"/>
                <w:sz w:val="18"/>
                <w:szCs w:val="18"/>
              </w:rPr>
              <w:t>◯</w:t>
            </w:r>
            <w:r w:rsidRPr="005C2CBA">
              <w:rPr>
                <w:rFonts w:eastAsia="MS Mincho"/>
                <w:sz w:val="18"/>
                <w:szCs w:val="18"/>
              </w:rPr>
              <w:t xml:space="preserve"> Árubeszerzés </w:t>
            </w:r>
            <w:r w:rsidRPr="005C2CBA">
              <w:rPr>
                <w:b/>
                <w:color w:val="00B0F0"/>
              </w:rPr>
              <w:t>x Szolgáltatásmegrendelés</w:t>
            </w:r>
          </w:p>
        </w:tc>
      </w:tr>
      <w:tr w:rsidR="00810429" w:rsidRPr="005C2CBA" w14:paraId="51C71ED8"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1EF5C4" w14:textId="3A330590" w:rsidR="00810429" w:rsidRPr="005C2CBA" w:rsidRDefault="00810429" w:rsidP="005C2CBA">
            <w:pPr>
              <w:autoSpaceDE w:val="0"/>
              <w:autoSpaceDN w:val="0"/>
              <w:adjustRightInd w:val="0"/>
              <w:spacing w:before="120" w:after="120"/>
              <w:rPr>
                <w:rFonts w:ascii="Calibri" w:eastAsia="MS Mincho" w:hAnsi="Calibri"/>
              </w:rPr>
            </w:pPr>
            <w:r w:rsidRPr="005C2CBA">
              <w:rPr>
                <w:rFonts w:eastAsia="MS Mincho"/>
                <w:b/>
                <w:bCs/>
                <w:sz w:val="18"/>
                <w:szCs w:val="18"/>
              </w:rPr>
              <w:t>II.1.4) Rövid meghatározás:</w:t>
            </w:r>
            <w:r w:rsidRPr="005C2CBA">
              <w:rPr>
                <w:rFonts w:ascii="Helvetica" w:eastAsia="MS Mincho" w:hAnsi="Helvetica" w:cs="Helvetica"/>
                <w:color w:val="336699"/>
                <w:sz w:val="21"/>
                <w:szCs w:val="21"/>
              </w:rPr>
              <w:t xml:space="preserve"> </w:t>
            </w:r>
            <w:r w:rsidRPr="005C2CBA">
              <w:rPr>
                <w:b/>
                <w:color w:val="00B0F0"/>
              </w:rPr>
              <w:t>Parkoló automaták beszerzése és üzembe helyezése, továbbá parkoló automaták műszaki jellegű folyamatos üzemeletetése (karbantartása)</w:t>
            </w:r>
          </w:p>
        </w:tc>
      </w:tr>
      <w:tr w:rsidR="00810429" w:rsidRPr="005C2CBA" w14:paraId="7523BBBB"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EF7189D"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b/>
                <w:bCs/>
                <w:sz w:val="18"/>
                <w:szCs w:val="18"/>
              </w:rPr>
              <w:t>II.1.5) Becsült teljes érték vagy nagyságrend:</w:t>
            </w:r>
            <w:r w:rsidRPr="005C2CBA">
              <w:rPr>
                <w:rFonts w:eastAsia="MS Mincho"/>
                <w:sz w:val="18"/>
                <w:szCs w:val="18"/>
              </w:rPr>
              <w:t xml:space="preserve"> </w:t>
            </w:r>
            <w:r w:rsidRPr="005C2CBA">
              <w:rPr>
                <w:rFonts w:eastAsia="MS Mincho"/>
                <w:b/>
                <w:bCs/>
                <w:sz w:val="18"/>
                <w:szCs w:val="18"/>
                <w:vertAlign w:val="superscript"/>
              </w:rPr>
              <w:t>2</w:t>
            </w:r>
          </w:p>
          <w:p w14:paraId="48781833"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Érték áfa nélkül: [       1         ] Pénznem: HUF</w:t>
            </w:r>
          </w:p>
          <w:p w14:paraId="42453C36"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i/>
                <w:iCs/>
                <w:sz w:val="18"/>
                <w:szCs w:val="18"/>
              </w:rPr>
              <w:t>(Keretmegállapodás vagy dinamikus beszerzési rendszer esetében a szerződéseknek a keretmegállapodás vagy dinamikus beszerzési rendszer teljes időtartamára vonatkozó becsült összértéke vagy volumene)</w:t>
            </w:r>
          </w:p>
        </w:tc>
      </w:tr>
      <w:tr w:rsidR="00810429" w:rsidRPr="005C2CBA" w14:paraId="395EE695"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6E5E626"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II.1.6) Részekre vonatkozó információk</w:t>
            </w:r>
          </w:p>
          <w:p w14:paraId="6CBB2B53" w14:textId="77777777" w:rsidR="00810429" w:rsidRPr="005C2CBA" w:rsidRDefault="00810429" w:rsidP="0084156F">
            <w:pPr>
              <w:autoSpaceDE w:val="0"/>
              <w:autoSpaceDN w:val="0"/>
              <w:adjustRightInd w:val="0"/>
              <w:spacing w:before="120" w:after="120"/>
              <w:rPr>
                <w:b/>
                <w:color w:val="00B0F0"/>
              </w:rPr>
            </w:pPr>
            <w:r w:rsidRPr="005C2CBA">
              <w:rPr>
                <w:rFonts w:eastAsia="MS Mincho"/>
                <w:sz w:val="18"/>
                <w:szCs w:val="18"/>
              </w:rPr>
              <w:t xml:space="preserve">A beszerzés részekből áll </w:t>
            </w:r>
            <w:r w:rsidRPr="005C2CBA">
              <w:rPr>
                <w:rFonts w:ascii="MS Mincho" w:eastAsia="MS Mincho" w:cs="MS Mincho"/>
                <w:sz w:val="18"/>
                <w:szCs w:val="18"/>
              </w:rPr>
              <w:t>◯</w:t>
            </w:r>
            <w:r w:rsidRPr="005C2CBA">
              <w:rPr>
                <w:rFonts w:eastAsia="MS Mincho"/>
                <w:sz w:val="18"/>
                <w:szCs w:val="18"/>
              </w:rPr>
              <w:t xml:space="preserve"> igen </w:t>
            </w:r>
            <w:r w:rsidRPr="005C2CBA">
              <w:rPr>
                <w:b/>
                <w:color w:val="00B0F0"/>
              </w:rPr>
              <w:t>x nem</w:t>
            </w:r>
          </w:p>
          <w:p w14:paraId="637A022A"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Ajánlatok </w:t>
            </w:r>
            <w:r w:rsidRPr="005C2CBA">
              <w:rPr>
                <w:rFonts w:ascii="MS Mincho" w:eastAsia="MS Mincho" w:cs="MS Mincho"/>
                <w:sz w:val="18"/>
                <w:szCs w:val="18"/>
              </w:rPr>
              <w:t>◯</w:t>
            </w:r>
            <w:r w:rsidRPr="005C2CBA">
              <w:rPr>
                <w:rFonts w:eastAsia="MS Mincho"/>
                <w:sz w:val="18"/>
                <w:szCs w:val="18"/>
              </w:rPr>
              <w:t xml:space="preserve"> valamennyi részre </w:t>
            </w:r>
            <w:r w:rsidRPr="005C2CBA">
              <w:rPr>
                <w:rFonts w:ascii="MS Mincho" w:eastAsia="MS Mincho" w:cs="MS Mincho"/>
                <w:sz w:val="18"/>
                <w:szCs w:val="18"/>
              </w:rPr>
              <w:t>◯</w:t>
            </w:r>
            <w:r w:rsidRPr="005C2CBA">
              <w:rPr>
                <w:rFonts w:eastAsia="MS Mincho"/>
                <w:sz w:val="18"/>
                <w:szCs w:val="18"/>
              </w:rPr>
              <w:t xml:space="preserve"> legfeljebb a következő számú részre nyújthatók be: [  ] </w:t>
            </w:r>
            <w:r w:rsidRPr="005C2CBA">
              <w:rPr>
                <w:rFonts w:ascii="MS Mincho" w:eastAsia="MS Mincho" w:cs="MS Mincho"/>
                <w:sz w:val="18"/>
                <w:szCs w:val="18"/>
              </w:rPr>
              <w:t>◯</w:t>
            </w:r>
            <w:r w:rsidRPr="005C2CBA">
              <w:rPr>
                <w:rFonts w:eastAsia="MS Mincho"/>
                <w:sz w:val="18"/>
                <w:szCs w:val="18"/>
              </w:rPr>
              <w:t xml:space="preserve"> csak egy részre nyújthatók be</w:t>
            </w:r>
          </w:p>
          <w:p w14:paraId="5AB1FE91"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Az egy ajánlattevőnek odaítélhető részek maximális száma: [  ]</w:t>
            </w:r>
          </w:p>
          <w:p w14:paraId="797FDD6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lastRenderedPageBreak/>
              <w:t xml:space="preserve"> Az ajánlatkérő fenntartja a jogot arra, hogy a következő részek vagy részcsoportok kombinációjával ítéljen oda szerződéseket:</w:t>
            </w:r>
          </w:p>
        </w:tc>
      </w:tr>
    </w:tbl>
    <w:p w14:paraId="08C0B454" w14:textId="77777777" w:rsidR="00810429" w:rsidRPr="005C2CBA" w:rsidRDefault="00810429" w:rsidP="00810429">
      <w:pPr>
        <w:autoSpaceDE w:val="0"/>
        <w:autoSpaceDN w:val="0"/>
        <w:adjustRightInd w:val="0"/>
        <w:spacing w:before="120" w:after="120"/>
        <w:rPr>
          <w:rFonts w:eastAsia="MS Mincho"/>
          <w:sz w:val="22"/>
          <w:szCs w:val="22"/>
        </w:rPr>
      </w:pPr>
    </w:p>
    <w:p w14:paraId="63D2B7F4" w14:textId="77777777" w:rsidR="00810429" w:rsidRPr="005C2CBA" w:rsidRDefault="00810429" w:rsidP="00810429">
      <w:pPr>
        <w:autoSpaceDE w:val="0"/>
        <w:autoSpaceDN w:val="0"/>
        <w:adjustRightInd w:val="0"/>
        <w:spacing w:before="120" w:after="120"/>
        <w:jc w:val="both"/>
        <w:rPr>
          <w:rFonts w:eastAsia="MS Mincho"/>
          <w:b/>
          <w:bCs/>
        </w:rPr>
      </w:pPr>
      <w:r w:rsidRPr="005C2CBA">
        <w:rPr>
          <w:rFonts w:eastAsia="MS Mincho"/>
          <w:b/>
          <w:bCs/>
          <w:sz w:val="22"/>
          <w:szCs w:val="22"/>
        </w:rPr>
        <w:t xml:space="preserve">II.2) Meghatározás </w:t>
      </w:r>
      <w:r w:rsidRPr="005C2CBA">
        <w:rPr>
          <w:rFonts w:eastAsia="MS Mincho"/>
          <w:b/>
          <w:bCs/>
          <w:sz w:val="18"/>
          <w:szCs w:val="18"/>
          <w:vertAlign w:val="superscript"/>
        </w:rPr>
        <w:t>1</w:t>
      </w:r>
    </w:p>
    <w:tbl>
      <w:tblPr>
        <w:tblW w:w="0" w:type="auto"/>
        <w:tblInd w:w="-106" w:type="dxa"/>
        <w:tblLayout w:type="fixed"/>
        <w:tblLook w:val="0000" w:firstRow="0" w:lastRow="0" w:firstColumn="0" w:lastColumn="0" w:noHBand="0" w:noVBand="0"/>
      </w:tblPr>
      <w:tblGrid>
        <w:gridCol w:w="7163"/>
        <w:gridCol w:w="2571"/>
      </w:tblGrid>
      <w:tr w:rsidR="00810429" w:rsidRPr="005C2CBA" w14:paraId="6838BC87" w14:textId="77777777" w:rsidTr="0084156F">
        <w:trPr>
          <w:trHeight w:val="1"/>
        </w:trPr>
        <w:tc>
          <w:tcPr>
            <w:tcW w:w="7163" w:type="dxa"/>
            <w:tcBorders>
              <w:top w:val="single" w:sz="2" w:space="0" w:color="000000"/>
              <w:left w:val="single" w:sz="2" w:space="0" w:color="000000"/>
              <w:bottom w:val="single" w:sz="2" w:space="0" w:color="000000"/>
              <w:right w:val="single" w:sz="2" w:space="0" w:color="000000"/>
            </w:tcBorders>
            <w:shd w:val="clear" w:color="000000" w:fill="FFFFFF"/>
          </w:tcPr>
          <w:p w14:paraId="25E809BF" w14:textId="52694525" w:rsidR="00810429" w:rsidRPr="005C2CBA" w:rsidRDefault="00810429" w:rsidP="005C2CBA">
            <w:pPr>
              <w:autoSpaceDE w:val="0"/>
              <w:autoSpaceDN w:val="0"/>
              <w:adjustRightInd w:val="0"/>
              <w:jc w:val="both"/>
              <w:rPr>
                <w:rFonts w:ascii="Calibri" w:eastAsia="MS Mincho" w:hAnsi="Calibri"/>
              </w:rPr>
            </w:pPr>
            <w:r w:rsidRPr="005C2CBA">
              <w:rPr>
                <w:rFonts w:eastAsia="MS Mincho"/>
                <w:b/>
                <w:bCs/>
                <w:sz w:val="18"/>
                <w:szCs w:val="18"/>
              </w:rPr>
              <w:t>II.2.1) Elnevezés:</w:t>
            </w:r>
            <w:r w:rsidRPr="005C2CBA">
              <w:rPr>
                <w:rFonts w:ascii="Helvetica" w:eastAsia="MS Mincho" w:hAnsi="Helvetica" w:cs="Helvetica"/>
                <w:color w:val="336699"/>
                <w:sz w:val="21"/>
                <w:szCs w:val="21"/>
              </w:rPr>
              <w:t xml:space="preserve"> </w:t>
            </w:r>
            <w:r w:rsidRPr="005C2CBA">
              <w:rPr>
                <w:b/>
                <w:color w:val="00B0F0"/>
              </w:rPr>
              <w:t xml:space="preserve">Parkoló automaták beszerzése és folyamatos üzemeletetése (karbantartása) </w:t>
            </w:r>
          </w:p>
        </w:tc>
        <w:tc>
          <w:tcPr>
            <w:tcW w:w="2571" w:type="dxa"/>
            <w:tcBorders>
              <w:top w:val="single" w:sz="2" w:space="0" w:color="000000"/>
              <w:left w:val="single" w:sz="2" w:space="0" w:color="000000"/>
              <w:bottom w:val="single" w:sz="2" w:space="0" w:color="000000"/>
              <w:right w:val="single" w:sz="2" w:space="0" w:color="000000"/>
            </w:tcBorders>
            <w:shd w:val="clear" w:color="000000" w:fill="FFFFFF"/>
          </w:tcPr>
          <w:p w14:paraId="51CAB2C3"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Rész száma: 1 </w:t>
            </w:r>
            <w:r w:rsidRPr="005C2CBA">
              <w:rPr>
                <w:rFonts w:eastAsia="MS Mincho"/>
                <w:b/>
                <w:bCs/>
                <w:sz w:val="18"/>
                <w:szCs w:val="18"/>
                <w:vertAlign w:val="superscript"/>
              </w:rPr>
              <w:t>2</w:t>
            </w:r>
          </w:p>
        </w:tc>
      </w:tr>
      <w:tr w:rsidR="00810429" w:rsidRPr="005C2CBA" w14:paraId="3A0EAC04"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3A57124" w14:textId="77777777" w:rsidR="00810429" w:rsidRPr="005C2CBA" w:rsidRDefault="00810429" w:rsidP="0084156F">
            <w:pPr>
              <w:autoSpaceDE w:val="0"/>
              <w:autoSpaceDN w:val="0"/>
              <w:adjustRightInd w:val="0"/>
              <w:spacing w:before="120" w:after="120"/>
              <w:jc w:val="both"/>
              <w:rPr>
                <w:rFonts w:eastAsia="MS Mincho"/>
                <w:sz w:val="18"/>
                <w:szCs w:val="18"/>
                <w:vertAlign w:val="superscript"/>
              </w:rPr>
            </w:pPr>
            <w:r w:rsidRPr="005C2CBA">
              <w:rPr>
                <w:rFonts w:eastAsia="MS Mincho"/>
                <w:b/>
                <w:bCs/>
                <w:sz w:val="18"/>
                <w:szCs w:val="18"/>
              </w:rPr>
              <w:t>II.2.2) További CPV-kód(ok):</w:t>
            </w:r>
            <w:r w:rsidRPr="005C2CBA">
              <w:rPr>
                <w:rFonts w:eastAsia="MS Mincho"/>
                <w:sz w:val="18"/>
                <w:szCs w:val="18"/>
              </w:rPr>
              <w:t xml:space="preserve"> </w:t>
            </w:r>
            <w:r w:rsidRPr="005C2CBA">
              <w:rPr>
                <w:rFonts w:eastAsia="MS Mincho"/>
                <w:b/>
                <w:bCs/>
                <w:sz w:val="18"/>
                <w:szCs w:val="18"/>
                <w:vertAlign w:val="superscript"/>
              </w:rPr>
              <w:t>2</w:t>
            </w:r>
          </w:p>
          <w:p w14:paraId="5CF253B5" w14:textId="77777777" w:rsidR="00810429" w:rsidRPr="005C2CBA" w:rsidRDefault="00810429" w:rsidP="0084156F">
            <w:pPr>
              <w:autoSpaceDE w:val="0"/>
              <w:autoSpaceDN w:val="0"/>
              <w:adjustRightInd w:val="0"/>
              <w:spacing w:before="120" w:after="120"/>
              <w:jc w:val="both"/>
              <w:rPr>
                <w:rFonts w:eastAsia="MS Mincho"/>
                <w:sz w:val="18"/>
                <w:szCs w:val="18"/>
              </w:rPr>
            </w:pPr>
            <w:r w:rsidRPr="005C2CBA">
              <w:rPr>
                <w:rFonts w:eastAsia="MS Mincho"/>
                <w:sz w:val="18"/>
                <w:szCs w:val="18"/>
              </w:rPr>
              <w:t xml:space="preserve">Fő CPV-kód: </w:t>
            </w:r>
            <w:r w:rsidRPr="005C2CBA">
              <w:rPr>
                <w:rFonts w:eastAsia="MS Mincho"/>
                <w:b/>
                <w:bCs/>
                <w:sz w:val="18"/>
                <w:szCs w:val="18"/>
                <w:vertAlign w:val="superscript"/>
              </w:rPr>
              <w:t>1</w:t>
            </w:r>
            <w:r w:rsidRPr="005C2CBA">
              <w:rPr>
                <w:rFonts w:eastAsia="MS Mincho"/>
                <w:sz w:val="18"/>
                <w:szCs w:val="18"/>
              </w:rPr>
              <w:t xml:space="preserve">  </w:t>
            </w:r>
            <w:r w:rsidRPr="005C2CBA">
              <w:rPr>
                <w:b/>
                <w:color w:val="00B0F0"/>
              </w:rPr>
              <w:t>51214000-5</w:t>
            </w:r>
            <w:r w:rsidRPr="005C2CBA">
              <w:rPr>
                <w:rFonts w:eastAsia="MS Mincho"/>
                <w:sz w:val="18"/>
                <w:szCs w:val="18"/>
              </w:rPr>
              <w:t xml:space="preserve"> Kiegészítő CPV-kód: </w:t>
            </w:r>
            <w:r w:rsidRPr="005C2CBA">
              <w:rPr>
                <w:rFonts w:eastAsia="MS Mincho"/>
                <w:b/>
                <w:bCs/>
                <w:sz w:val="18"/>
                <w:szCs w:val="18"/>
                <w:vertAlign w:val="superscript"/>
              </w:rPr>
              <w:t>1, 2</w:t>
            </w:r>
            <w:r w:rsidRPr="005C2CBA">
              <w:rPr>
                <w:rFonts w:eastAsia="MS Mincho"/>
                <w:sz w:val="18"/>
                <w:szCs w:val="18"/>
              </w:rPr>
              <w:t xml:space="preserve"> [ ][ ][ ][ ]</w:t>
            </w:r>
          </w:p>
          <w:p w14:paraId="57823A98"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b/>
                <w:color w:val="00B0F0"/>
              </w:rPr>
              <w:t>63712400-7</w:t>
            </w:r>
            <w:r w:rsidRPr="005C2CBA">
              <w:rPr>
                <w:b/>
                <w:color w:val="00B0F0"/>
              </w:rPr>
              <w:br/>
              <w:t>60000000-8</w:t>
            </w:r>
            <w:r w:rsidRPr="005C2CBA">
              <w:rPr>
                <w:b/>
                <w:color w:val="00B0F0"/>
              </w:rPr>
              <w:br/>
              <w:t>50316000-3</w:t>
            </w:r>
          </w:p>
        </w:tc>
      </w:tr>
      <w:tr w:rsidR="00810429" w:rsidRPr="005C2CBA" w14:paraId="07B1FFD6"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FE9E447"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II.2.3) A teljesítés helye:</w:t>
            </w:r>
          </w:p>
          <w:p w14:paraId="2AE754EE"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NUTS-kód: </w:t>
            </w:r>
            <w:r w:rsidRPr="005C2CBA">
              <w:rPr>
                <w:rFonts w:eastAsia="MS Mincho"/>
                <w:b/>
                <w:bCs/>
                <w:sz w:val="18"/>
                <w:szCs w:val="18"/>
                <w:vertAlign w:val="superscript"/>
              </w:rPr>
              <w:t>1</w:t>
            </w:r>
            <w:r w:rsidRPr="005C2CBA">
              <w:rPr>
                <w:rFonts w:eastAsia="MS Mincho"/>
                <w:sz w:val="18"/>
                <w:szCs w:val="18"/>
              </w:rPr>
              <w:t xml:space="preserve"> HU............ A teljesítés fő helyszíne:</w:t>
            </w:r>
          </w:p>
        </w:tc>
      </w:tr>
      <w:tr w:rsidR="00810429" w:rsidRPr="005C2CBA" w14:paraId="70C685C5"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2B07242"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II.2.4) A közbeszerzés ismertetése:</w:t>
            </w:r>
          </w:p>
          <w:p w14:paraId="11EB2632" w14:textId="36A8078F" w:rsidR="00810429" w:rsidRPr="005C2CBA" w:rsidRDefault="00810429" w:rsidP="005C2CBA">
            <w:pPr>
              <w:rPr>
                <w:b/>
                <w:color w:val="00B0F0"/>
              </w:rPr>
            </w:pPr>
            <w:r w:rsidRPr="005C2CBA">
              <w:rPr>
                <w:b/>
                <w:color w:val="00B0F0"/>
              </w:rPr>
              <w:t xml:space="preserve">1. Nyertes ajánlattevő feladata mindösszesen </w:t>
            </w:r>
            <w:r w:rsidR="007B5D34" w:rsidRPr="005C2CBA">
              <w:rPr>
                <w:b/>
                <w:color w:val="00B0F0"/>
              </w:rPr>
              <w:t>76</w:t>
            </w:r>
            <w:r w:rsidRPr="005C2CBA">
              <w:rPr>
                <w:b/>
                <w:color w:val="00B0F0"/>
              </w:rPr>
              <w:t xml:space="preserve"> darab parkoló automata beszerzése, leszállítása, telepítése és üzembe helyezése, műszaki jellegű folyamatos üzemeletetése (karbantartása) az általa készített telepítési tervnek megfelelően</w:t>
            </w:r>
            <w:r w:rsidR="005C2CBA" w:rsidRPr="005C2CBA">
              <w:rPr>
                <w:b/>
                <w:color w:val="00B0F0"/>
              </w:rPr>
              <w:t>.</w:t>
            </w:r>
          </w:p>
          <w:p w14:paraId="7778A7DC" w14:textId="4729A90F" w:rsidR="00810429" w:rsidRPr="005C2CBA" w:rsidRDefault="00810429" w:rsidP="005C2CBA">
            <w:pPr>
              <w:rPr>
                <w:b/>
                <w:color w:val="00B0F0"/>
              </w:rPr>
            </w:pPr>
            <w:r w:rsidRPr="005C2CBA">
              <w:rPr>
                <w:b/>
                <w:color w:val="00B0F0"/>
              </w:rPr>
              <w:t xml:space="preserve">A parkoló automaták szállításának és üzembe helyezésének a határideje a szerződéskötéstől számított legfeljebb </w:t>
            </w:r>
            <w:r w:rsidR="007B5D34" w:rsidRPr="005C2CBA">
              <w:rPr>
                <w:b/>
                <w:color w:val="00B0F0"/>
              </w:rPr>
              <w:t>90</w:t>
            </w:r>
            <w:r w:rsidRPr="005C2CBA">
              <w:rPr>
                <w:b/>
                <w:color w:val="00B0F0"/>
              </w:rPr>
              <w:t xml:space="preserve"> naptári nap</w:t>
            </w:r>
            <w:r w:rsidR="005C2CBA" w:rsidRPr="005C2CBA">
              <w:rPr>
                <w:b/>
                <w:color w:val="00B0F0"/>
              </w:rPr>
              <w:t xml:space="preserve"> (bírálati részszempont)</w:t>
            </w:r>
            <w:r w:rsidRPr="005C2CBA">
              <w:rPr>
                <w:b/>
                <w:color w:val="00B0F0"/>
              </w:rPr>
              <w:t>.</w:t>
            </w:r>
            <w:r w:rsidRPr="005C2CBA">
              <w:rPr>
                <w:b/>
                <w:color w:val="00B0F0"/>
              </w:rPr>
              <w:br/>
              <w:t>A telepítéssel és a működtetésével kapcsolatos feladatokat (karbantartás, hibaelhárítás, pénzbegyűjtés, -számolás stb.) a műszaki dokumentáció tar</w:t>
            </w:r>
            <w:r w:rsidR="00E260E5" w:rsidRPr="005C2CBA">
              <w:rPr>
                <w:b/>
                <w:color w:val="00B0F0"/>
              </w:rPr>
              <w:t>talmazza.</w:t>
            </w:r>
            <w:r w:rsidR="00E260E5" w:rsidRPr="005C2CBA">
              <w:rPr>
                <w:b/>
                <w:color w:val="00B0F0"/>
              </w:rPr>
              <w:br/>
            </w:r>
          </w:p>
          <w:p w14:paraId="6ACC964F" w14:textId="24478B1A" w:rsidR="00810429" w:rsidRPr="005C2CBA" w:rsidRDefault="00810429" w:rsidP="0084156F">
            <w:pPr>
              <w:autoSpaceDE w:val="0"/>
              <w:autoSpaceDN w:val="0"/>
              <w:adjustRightInd w:val="0"/>
              <w:spacing w:before="120" w:after="120"/>
              <w:jc w:val="both"/>
              <w:rPr>
                <w:b/>
                <w:color w:val="00B0F0"/>
              </w:rPr>
            </w:pPr>
            <w:r w:rsidRPr="005C2CBA">
              <w:rPr>
                <w:b/>
                <w:color w:val="00B0F0"/>
              </w:rPr>
              <w:t xml:space="preserve">2. A </w:t>
            </w:r>
            <w:r w:rsidR="00E260E5" w:rsidRPr="005C2CBA">
              <w:rPr>
                <w:b/>
                <w:color w:val="00B0F0"/>
              </w:rPr>
              <w:t xml:space="preserve">Budapest Főváros XIV. Kerület Zugló Önkormányzata </w:t>
            </w:r>
            <w:r w:rsidRPr="005C2CBA">
              <w:rPr>
                <w:b/>
                <w:color w:val="00B0F0"/>
              </w:rPr>
              <w:t xml:space="preserve">közigazgatási területén </w:t>
            </w:r>
            <w:r w:rsidR="007B5D34" w:rsidRPr="005C2CBA">
              <w:rPr>
                <w:b/>
                <w:color w:val="00B0F0"/>
              </w:rPr>
              <w:t xml:space="preserve">76 </w:t>
            </w:r>
            <w:r w:rsidRPr="005C2CBA">
              <w:rPr>
                <w:b/>
                <w:color w:val="00B0F0"/>
              </w:rPr>
              <w:t xml:space="preserve"> db parkoló automatából álló parkolási rendszer üzemkész állapotának biztosítása, rendszám alapú on-line parkolás - összekötve a parkolás ellenőrzési szoftverrel – biztosítása,  karbantartása, eseti hibaelhárítása, vandalizmusból eredő rongálások javítása, szükség szerinti áttelepítések elvégzése az Ajánlatkérő külön megrendelései alapján, továbbá az automaták ürítése, az érmék és papírpénz begyűjtése és feldolgozása és az Önkormányzat számlájára való befizettetése (vagy befizetése) készpénz-logisztikai céggel. </w:t>
            </w:r>
          </w:p>
          <w:p w14:paraId="45AF4A69" w14:textId="77777777" w:rsidR="00810429" w:rsidRPr="005C2CBA" w:rsidRDefault="00810429" w:rsidP="00E260E5">
            <w:pPr>
              <w:autoSpaceDE w:val="0"/>
              <w:autoSpaceDN w:val="0"/>
              <w:adjustRightInd w:val="0"/>
              <w:spacing w:before="120" w:after="120"/>
              <w:rPr>
                <w:rFonts w:ascii="Calibri" w:eastAsia="MS Mincho" w:hAnsi="Calibri"/>
              </w:rPr>
            </w:pPr>
          </w:p>
        </w:tc>
      </w:tr>
      <w:tr w:rsidR="00810429" w:rsidRPr="005C2CBA" w14:paraId="374F98BE"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B06B86D"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II.2.5) Értékelési szempontok</w:t>
            </w:r>
          </w:p>
          <w:p w14:paraId="1BDDE9C5"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x</w:t>
            </w:r>
            <w:r w:rsidRPr="005C2CBA">
              <w:rPr>
                <w:rFonts w:eastAsia="MS Mincho"/>
                <w:sz w:val="18"/>
                <w:szCs w:val="18"/>
              </w:rPr>
              <w:t xml:space="preserve"> Az alábbiakban megadott szempontok</w:t>
            </w:r>
          </w:p>
          <w:p w14:paraId="2B5DD893" w14:textId="77777777" w:rsidR="00810429" w:rsidRPr="005C2CBA" w:rsidRDefault="00810429" w:rsidP="0084156F">
            <w:pPr>
              <w:rPr>
                <w:rFonts w:ascii="Helvetica" w:hAnsi="Helvetica" w:cs="Helvetica"/>
                <w:color w:val="000000"/>
                <w:sz w:val="14"/>
                <w:szCs w:val="14"/>
                <w:shd w:val="clear" w:color="auto" w:fill="FFFFFF"/>
              </w:rPr>
            </w:pPr>
            <w:r w:rsidRPr="005C2CBA">
              <w:rPr>
                <w:rFonts w:ascii="MS Mincho" w:eastAsia="MS Mincho" w:cs="MS Mincho"/>
                <w:sz w:val="18"/>
                <w:szCs w:val="18"/>
              </w:rPr>
              <w:t>x</w:t>
            </w:r>
            <w:r w:rsidRPr="005C2CBA">
              <w:rPr>
                <w:rFonts w:eastAsia="MS Mincho"/>
                <w:sz w:val="18"/>
                <w:szCs w:val="18"/>
              </w:rPr>
              <w:t xml:space="preserve"> Minőségi kritérium – Név/ Súlyszám:  1 </w:t>
            </w:r>
            <w:r w:rsidRPr="005C2CBA">
              <w:rPr>
                <w:b/>
                <w:color w:val="00B0F0"/>
              </w:rPr>
              <w:t>Telepítési határidő (naptári nap) 30</w:t>
            </w:r>
            <w:r w:rsidRPr="005C2CBA">
              <w:rPr>
                <w:rFonts w:eastAsia="MS Mincho"/>
                <w:sz w:val="18"/>
                <w:szCs w:val="18"/>
              </w:rPr>
              <w:t xml:space="preserve"> </w:t>
            </w:r>
            <w:r w:rsidRPr="005C2CBA">
              <w:rPr>
                <w:rFonts w:eastAsia="MS Mincho"/>
                <w:b/>
                <w:bCs/>
                <w:sz w:val="18"/>
                <w:szCs w:val="18"/>
                <w:vertAlign w:val="superscript"/>
              </w:rPr>
              <w:t>1, 2, 20</w:t>
            </w:r>
          </w:p>
          <w:p w14:paraId="4A4A471C" w14:textId="77777777" w:rsidR="00810429" w:rsidRPr="005C2CBA" w:rsidRDefault="00810429" w:rsidP="0084156F">
            <w:pPr>
              <w:autoSpaceDE w:val="0"/>
              <w:autoSpaceDN w:val="0"/>
              <w:adjustRightInd w:val="0"/>
              <w:spacing w:before="120" w:after="120"/>
              <w:ind w:left="142"/>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Költség kritérium – Név: / Súlyszám: </w:t>
            </w:r>
            <w:r w:rsidRPr="005C2CBA">
              <w:rPr>
                <w:rFonts w:eastAsia="MS Mincho"/>
                <w:b/>
                <w:bCs/>
                <w:sz w:val="18"/>
                <w:szCs w:val="18"/>
                <w:vertAlign w:val="superscript"/>
              </w:rPr>
              <w:t>1, 20</w:t>
            </w:r>
          </w:p>
          <w:p w14:paraId="1E96D07F" w14:textId="67B03870" w:rsidR="00810429" w:rsidRPr="005C2CBA" w:rsidRDefault="00810429" w:rsidP="0084156F">
            <w:pPr>
              <w:autoSpaceDE w:val="0"/>
              <w:autoSpaceDN w:val="0"/>
              <w:adjustRightInd w:val="0"/>
              <w:spacing w:before="120" w:after="120"/>
              <w:ind w:left="142"/>
              <w:rPr>
                <w:rFonts w:eastAsia="MS Mincho"/>
                <w:sz w:val="18"/>
                <w:szCs w:val="18"/>
              </w:rPr>
            </w:pPr>
            <w:r w:rsidRPr="005C2CBA">
              <w:rPr>
                <w:b/>
                <w:color w:val="00B0F0"/>
              </w:rPr>
              <w:t xml:space="preserve">x Ár – Súlyszám: </w:t>
            </w:r>
            <w:r w:rsidR="00E260E5" w:rsidRPr="005C2CBA">
              <w:rPr>
                <w:b/>
                <w:color w:val="00B0F0"/>
              </w:rPr>
              <w:t>7</w:t>
            </w:r>
            <w:r w:rsidRPr="005C2CBA">
              <w:rPr>
                <w:b/>
                <w:color w:val="00B0F0"/>
              </w:rPr>
              <w:t>0</w:t>
            </w:r>
            <w:r w:rsidRPr="005C2CBA">
              <w:rPr>
                <w:rFonts w:eastAsia="MS Mincho"/>
                <w:sz w:val="18"/>
                <w:szCs w:val="18"/>
              </w:rPr>
              <w:t xml:space="preserve"> </w:t>
            </w:r>
            <w:r w:rsidRPr="005C2CBA">
              <w:rPr>
                <w:rFonts w:eastAsia="MS Mincho"/>
                <w:b/>
                <w:bCs/>
                <w:sz w:val="18"/>
                <w:szCs w:val="18"/>
                <w:vertAlign w:val="superscript"/>
              </w:rPr>
              <w:t>21</w:t>
            </w:r>
          </w:p>
          <w:p w14:paraId="1AC94B04"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ascii="MS Mincho" w:eastAsia="MS Mincho" w:hAnsi="MS Mincho" w:cs="MS Mincho"/>
                <w:sz w:val="18"/>
                <w:szCs w:val="18"/>
              </w:rPr>
              <w:t>◯</w:t>
            </w:r>
            <w:r w:rsidRPr="005C2CBA">
              <w:rPr>
                <w:rFonts w:eastAsia="MS Mincho"/>
                <w:sz w:val="18"/>
                <w:szCs w:val="18"/>
              </w:rPr>
              <w:t xml:space="preserve"> Az ár nem az egyetlen odaítélési kritérium, az összes kritérium kizárólag a közbeszerzési dokumentációban került meghatározásra</w:t>
            </w:r>
          </w:p>
        </w:tc>
      </w:tr>
      <w:tr w:rsidR="00810429" w:rsidRPr="005C2CBA" w14:paraId="7BC22A19"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3A38506"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b/>
                <w:bCs/>
                <w:sz w:val="18"/>
                <w:szCs w:val="18"/>
              </w:rPr>
              <w:t>II.2.6) Becsült teljes érték vagy nagyságrend:</w:t>
            </w:r>
          </w:p>
          <w:p w14:paraId="3332DC0C"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Érték áfa nélkül: [      1          ] Pénznem: HUF</w:t>
            </w:r>
          </w:p>
          <w:p w14:paraId="413079EC"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i/>
                <w:iCs/>
                <w:sz w:val="18"/>
                <w:szCs w:val="18"/>
              </w:rPr>
              <w:lastRenderedPageBreak/>
              <w:t>(keretmegállapodások vagy dinamikus beszerzési rendszerek esetében</w:t>
            </w:r>
            <w:r w:rsidRPr="005C2CBA">
              <w:rPr>
                <w:rFonts w:eastAsia="MS Mincho"/>
                <w:b/>
                <w:bCs/>
                <w:i/>
                <w:iCs/>
                <w:sz w:val="18"/>
                <w:szCs w:val="18"/>
              </w:rPr>
              <w:t xml:space="preserve"> - </w:t>
            </w:r>
            <w:r w:rsidRPr="005C2CBA">
              <w:rPr>
                <w:rFonts w:eastAsia="MS Mincho"/>
                <w:i/>
                <w:iCs/>
                <w:sz w:val="18"/>
                <w:szCs w:val="18"/>
              </w:rPr>
              <w:t>becsült maximális összérték e tétel teljes időtartamára vonatkozóan)</w:t>
            </w:r>
          </w:p>
        </w:tc>
      </w:tr>
      <w:tr w:rsidR="00810429" w:rsidRPr="005C2CBA" w14:paraId="55E2DD62"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2D5F957"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lastRenderedPageBreak/>
              <w:t>II.2.7) A szerződés, a keretmegállapodás vagy a dinamikus beszerzési rendszer időtartama</w:t>
            </w:r>
          </w:p>
          <w:p w14:paraId="45CB6CFA" w14:textId="4E320B49"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Időtartam hónapban: [</w:t>
            </w:r>
            <w:r w:rsidR="007B5D34" w:rsidRPr="005C2CBA">
              <w:rPr>
                <w:b/>
                <w:color w:val="00B0F0"/>
              </w:rPr>
              <w:t>42</w:t>
            </w:r>
            <w:r w:rsidRPr="005C2CBA">
              <w:rPr>
                <w:rFonts w:eastAsia="MS Mincho"/>
                <w:sz w:val="18"/>
                <w:szCs w:val="18"/>
              </w:rPr>
              <w:t>] vagy Munkanapokban kifejezett időtartam: [  ]</w:t>
            </w:r>
          </w:p>
          <w:p w14:paraId="28207BA7" w14:textId="77777777" w:rsidR="00810429" w:rsidRPr="005C2CBA" w:rsidRDefault="00810429" w:rsidP="0084156F">
            <w:pPr>
              <w:autoSpaceDE w:val="0"/>
              <w:autoSpaceDN w:val="0"/>
              <w:adjustRightInd w:val="0"/>
              <w:spacing w:before="120" w:after="120"/>
              <w:jc w:val="both"/>
              <w:rPr>
                <w:rFonts w:eastAsia="MS Mincho"/>
                <w:sz w:val="18"/>
                <w:szCs w:val="18"/>
              </w:rPr>
            </w:pPr>
            <w:r w:rsidRPr="005C2CBA">
              <w:rPr>
                <w:rFonts w:eastAsia="MS Mincho"/>
                <w:sz w:val="18"/>
                <w:szCs w:val="18"/>
              </w:rPr>
              <w:t xml:space="preserve">vagy Kezdés: </w:t>
            </w:r>
            <w:r w:rsidRPr="005C2CBA">
              <w:rPr>
                <w:rFonts w:eastAsia="MS Mincho"/>
                <w:i/>
                <w:iCs/>
                <w:sz w:val="18"/>
                <w:szCs w:val="18"/>
              </w:rPr>
              <w:t>(nn/hh/éééé)</w:t>
            </w:r>
            <w:r w:rsidRPr="005C2CBA">
              <w:rPr>
                <w:rFonts w:eastAsia="MS Mincho"/>
                <w:sz w:val="18"/>
                <w:szCs w:val="18"/>
              </w:rPr>
              <w:t xml:space="preserve"> / Befejezés: </w:t>
            </w:r>
            <w:r w:rsidRPr="005C2CBA">
              <w:rPr>
                <w:rFonts w:eastAsia="MS Mincho"/>
                <w:i/>
                <w:iCs/>
                <w:sz w:val="18"/>
                <w:szCs w:val="18"/>
              </w:rPr>
              <w:t>(nn/hh/éééé)</w:t>
            </w:r>
          </w:p>
          <w:p w14:paraId="01347E6D" w14:textId="70E7C862" w:rsidR="00810429" w:rsidRPr="005C2CBA" w:rsidRDefault="00810429" w:rsidP="0084156F">
            <w:pPr>
              <w:autoSpaceDE w:val="0"/>
              <w:autoSpaceDN w:val="0"/>
              <w:adjustRightInd w:val="0"/>
              <w:jc w:val="both"/>
              <w:rPr>
                <w:rFonts w:ascii="Calibri" w:eastAsia="MS Mincho" w:hAnsi="Calibri"/>
              </w:rPr>
            </w:pPr>
            <w:r w:rsidRPr="005C2CBA">
              <w:rPr>
                <w:rFonts w:eastAsia="MS Mincho"/>
                <w:sz w:val="18"/>
                <w:szCs w:val="18"/>
              </w:rPr>
              <w:t xml:space="preserve">A szerződés meghosszabbítható </w:t>
            </w:r>
            <w:r w:rsidRPr="005C2CBA">
              <w:rPr>
                <w:rFonts w:ascii="MS Mincho" w:eastAsia="MS Mincho" w:cs="MS Mincho"/>
                <w:sz w:val="18"/>
                <w:szCs w:val="18"/>
              </w:rPr>
              <w:t>x</w:t>
            </w:r>
            <w:r w:rsidRPr="005C2CBA">
              <w:rPr>
                <w:rFonts w:eastAsia="MS Mincho"/>
                <w:sz w:val="18"/>
                <w:szCs w:val="18"/>
              </w:rPr>
              <w:t xml:space="preserve"> igen </w:t>
            </w:r>
            <w:r w:rsidRPr="005C2CBA">
              <w:rPr>
                <w:rFonts w:ascii="MS Mincho" w:eastAsia="MS Mincho" w:cs="MS Mincho"/>
                <w:sz w:val="18"/>
                <w:szCs w:val="18"/>
              </w:rPr>
              <w:t>◯</w:t>
            </w:r>
            <w:r w:rsidRPr="005C2CBA">
              <w:rPr>
                <w:rFonts w:eastAsia="MS Mincho"/>
                <w:sz w:val="18"/>
                <w:szCs w:val="18"/>
              </w:rPr>
              <w:t xml:space="preserve"> nem </w:t>
            </w:r>
            <w:r w:rsidRPr="005C2CBA">
              <w:rPr>
                <w:b/>
                <w:color w:val="00B0F0"/>
              </w:rPr>
              <w:t xml:space="preserve">A meghosszabbításra vonatkozó lehetőségek ismertetése: Ajánlatkérő egy alkalommal további </w:t>
            </w:r>
            <w:r w:rsidR="00655745" w:rsidRPr="005C2CBA">
              <w:rPr>
                <w:b/>
                <w:color w:val="00B0F0"/>
              </w:rPr>
              <w:t>60</w:t>
            </w:r>
            <w:r w:rsidRPr="005C2CBA">
              <w:rPr>
                <w:b/>
                <w:color w:val="00B0F0"/>
              </w:rPr>
              <w:t xml:space="preserve"> hónappal meghosszabbíthatja a szerződést.</w:t>
            </w:r>
          </w:p>
        </w:tc>
      </w:tr>
      <w:tr w:rsidR="00810429" w:rsidRPr="005C2CBA" w14:paraId="6D7FE1A3"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B53E4DF" w14:textId="77777777" w:rsidR="00810429" w:rsidRPr="005C2CBA" w:rsidRDefault="00810429" w:rsidP="0084156F">
            <w:pPr>
              <w:autoSpaceDE w:val="0"/>
              <w:autoSpaceDN w:val="0"/>
              <w:adjustRightInd w:val="0"/>
              <w:spacing w:before="120" w:after="120"/>
              <w:jc w:val="both"/>
              <w:rPr>
                <w:rFonts w:eastAsia="MS Mincho"/>
                <w:i/>
                <w:iCs/>
                <w:sz w:val="18"/>
                <w:szCs w:val="18"/>
              </w:rPr>
            </w:pPr>
            <w:r w:rsidRPr="005C2CBA">
              <w:rPr>
                <w:rFonts w:eastAsia="MS Mincho"/>
                <w:b/>
                <w:bCs/>
                <w:sz w:val="18"/>
                <w:szCs w:val="18"/>
              </w:rPr>
              <w:t>II.2.9) Az ajánlattételre vagy részvételre felhívandó gazdasági szereplők számának korlátozására vonatkozó információ</w:t>
            </w:r>
            <w:r w:rsidRPr="005C2CBA">
              <w:rPr>
                <w:rFonts w:ascii="Lucida Sans Unicode" w:eastAsia="MS Mincho" w:hAnsi="Lucida Sans Unicode" w:cs="Lucida Sans Unicode"/>
                <w:b/>
                <w:bCs/>
                <w:color w:val="000000"/>
                <w:sz w:val="14"/>
                <w:szCs w:val="14"/>
              </w:rPr>
              <w:t xml:space="preserve"> </w:t>
            </w:r>
            <w:r w:rsidRPr="005C2CBA">
              <w:rPr>
                <w:rFonts w:eastAsia="MS Mincho"/>
                <w:i/>
                <w:iCs/>
                <w:sz w:val="18"/>
                <w:szCs w:val="18"/>
              </w:rPr>
              <w:t>(nyílt eljárások kivételével)</w:t>
            </w:r>
          </w:p>
          <w:p w14:paraId="5C80365F" w14:textId="77777777" w:rsidR="00810429" w:rsidRPr="005C2CBA" w:rsidRDefault="00810429" w:rsidP="0084156F">
            <w:pPr>
              <w:autoSpaceDE w:val="0"/>
              <w:autoSpaceDN w:val="0"/>
              <w:adjustRightInd w:val="0"/>
              <w:spacing w:before="120" w:after="120"/>
              <w:jc w:val="both"/>
              <w:rPr>
                <w:rFonts w:eastAsia="MS Mincho"/>
                <w:sz w:val="18"/>
                <w:szCs w:val="18"/>
              </w:rPr>
            </w:pPr>
            <w:r w:rsidRPr="005C2CBA">
              <w:rPr>
                <w:rFonts w:eastAsia="MS Mincho"/>
                <w:sz w:val="18"/>
                <w:szCs w:val="18"/>
              </w:rPr>
              <w:t>A részvételre jelentkezők tervezett száma: [  ]</w:t>
            </w:r>
          </w:p>
          <w:p w14:paraId="3DB2C1FD" w14:textId="77777777" w:rsidR="00810429" w:rsidRPr="005C2CBA" w:rsidRDefault="00810429" w:rsidP="0084156F">
            <w:pPr>
              <w:autoSpaceDE w:val="0"/>
              <w:autoSpaceDN w:val="0"/>
              <w:adjustRightInd w:val="0"/>
              <w:spacing w:before="120" w:after="120"/>
              <w:jc w:val="both"/>
              <w:rPr>
                <w:rFonts w:eastAsia="MS Mincho"/>
                <w:sz w:val="18"/>
                <w:szCs w:val="18"/>
              </w:rPr>
            </w:pPr>
            <w:r w:rsidRPr="005C2CBA">
              <w:rPr>
                <w:rFonts w:eastAsia="MS Mincho"/>
                <w:i/>
                <w:iCs/>
                <w:sz w:val="18"/>
                <w:szCs w:val="18"/>
              </w:rPr>
              <w:t>vagy</w:t>
            </w:r>
            <w:r w:rsidRPr="005C2CBA">
              <w:rPr>
                <w:rFonts w:eastAsia="MS Mincho"/>
                <w:b/>
                <w:bCs/>
                <w:sz w:val="18"/>
                <w:szCs w:val="18"/>
              </w:rPr>
              <w:t xml:space="preserve"> </w:t>
            </w:r>
            <w:r w:rsidRPr="005C2CBA">
              <w:rPr>
                <w:rFonts w:eastAsia="MS Mincho"/>
                <w:sz w:val="18"/>
                <w:szCs w:val="18"/>
              </w:rPr>
              <w:t xml:space="preserve">Tervezett minimum: [  ] / Maximális szám: </w:t>
            </w:r>
            <w:r w:rsidRPr="005C2CBA">
              <w:rPr>
                <w:rFonts w:eastAsia="MS Mincho"/>
                <w:b/>
                <w:bCs/>
                <w:sz w:val="18"/>
                <w:szCs w:val="18"/>
                <w:vertAlign w:val="superscript"/>
              </w:rPr>
              <w:t>2</w:t>
            </w:r>
            <w:r w:rsidRPr="005C2CBA">
              <w:rPr>
                <w:rFonts w:eastAsia="MS Mincho"/>
                <w:sz w:val="18"/>
                <w:szCs w:val="18"/>
              </w:rPr>
              <w:t xml:space="preserve"> [  ]</w:t>
            </w:r>
          </w:p>
          <w:p w14:paraId="0DC8DAD5"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A jelentkezők számának korlátozására vonatkozó objektív szempontok:</w:t>
            </w:r>
          </w:p>
        </w:tc>
      </w:tr>
      <w:tr w:rsidR="00810429" w:rsidRPr="005C2CBA" w14:paraId="2024550A"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E001643"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II.2.10) Változatokra vonatkozó információk</w:t>
            </w:r>
          </w:p>
          <w:p w14:paraId="4462DF7B"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Elfogadható változatok  igen </w:t>
            </w:r>
            <w:r w:rsidRPr="005C2CBA">
              <w:rPr>
                <w:rFonts w:ascii="MS Mincho" w:eastAsia="MS Mincho" w:cs="MS Mincho"/>
                <w:sz w:val="18"/>
                <w:szCs w:val="18"/>
              </w:rPr>
              <w:t>x</w:t>
            </w:r>
            <w:r w:rsidRPr="005C2CBA">
              <w:rPr>
                <w:rFonts w:eastAsia="MS Mincho"/>
                <w:sz w:val="18"/>
                <w:szCs w:val="18"/>
              </w:rPr>
              <w:t xml:space="preserve"> nem</w:t>
            </w:r>
          </w:p>
        </w:tc>
      </w:tr>
      <w:tr w:rsidR="00810429" w:rsidRPr="005C2CBA" w14:paraId="05E3B8F6"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CDF34EE"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II.2.11) Opciókra vonatkozó információ</w:t>
            </w:r>
          </w:p>
          <w:p w14:paraId="7C312EF7" w14:textId="05A7F5B4" w:rsidR="006F740A" w:rsidRPr="005C2CBA" w:rsidRDefault="00810429">
            <w:pPr>
              <w:autoSpaceDE w:val="0"/>
              <w:autoSpaceDN w:val="0"/>
              <w:adjustRightInd w:val="0"/>
              <w:spacing w:before="120" w:after="120"/>
              <w:rPr>
                <w:b/>
                <w:color w:val="00B0F0"/>
              </w:rPr>
            </w:pPr>
            <w:r w:rsidRPr="005C2CBA">
              <w:rPr>
                <w:b/>
                <w:color w:val="00B0F0"/>
              </w:rPr>
              <w:t>Opciók x nem</w:t>
            </w:r>
            <w:r w:rsidRPr="005C2CBA">
              <w:rPr>
                <w:rFonts w:eastAsia="MS Mincho"/>
                <w:sz w:val="18"/>
                <w:szCs w:val="18"/>
              </w:rPr>
              <w:t xml:space="preserve">        Opciók ismertetése</w:t>
            </w:r>
          </w:p>
        </w:tc>
      </w:tr>
      <w:tr w:rsidR="00810429" w:rsidRPr="005C2CBA" w14:paraId="028C566B"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C3B7955"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II.2.12) Információ az elektronikus katalógusokról</w:t>
            </w:r>
          </w:p>
          <w:p w14:paraId="60AA5BB0"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 Az ajánlatokat elektronikus katalógus formájában kell benyújtani, vagy azoknak elektronikus katalógust kell tartalmazniuk</w:t>
            </w:r>
          </w:p>
        </w:tc>
      </w:tr>
      <w:tr w:rsidR="00810429" w:rsidRPr="005C2CBA" w14:paraId="044F5FB2"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DBF46D"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II.2.13) Európai uniós alapokra vonatkozó információk</w:t>
            </w:r>
          </w:p>
          <w:p w14:paraId="7D3CE438" w14:textId="77777777" w:rsidR="00810429" w:rsidRPr="005C2CBA" w:rsidRDefault="00810429" w:rsidP="0084156F">
            <w:pPr>
              <w:autoSpaceDE w:val="0"/>
              <w:autoSpaceDN w:val="0"/>
              <w:adjustRightInd w:val="0"/>
              <w:spacing w:before="120" w:after="120"/>
              <w:rPr>
                <w:b/>
                <w:color w:val="00B0F0"/>
              </w:rPr>
            </w:pPr>
            <w:r w:rsidRPr="005C2CBA">
              <w:rPr>
                <w:rFonts w:eastAsia="MS Mincho"/>
                <w:sz w:val="18"/>
                <w:szCs w:val="18"/>
              </w:rPr>
              <w:t xml:space="preserve">A beszerzés európai uniós alapokból finanszírozott projekttel és/vagy programmal kapcsolatos </w:t>
            </w:r>
            <w:r w:rsidRPr="005C2CBA">
              <w:rPr>
                <w:rFonts w:ascii="MS Mincho" w:eastAsia="MS Mincho" w:cs="MS Mincho"/>
                <w:sz w:val="18"/>
                <w:szCs w:val="18"/>
              </w:rPr>
              <w:t>◯</w:t>
            </w:r>
            <w:r w:rsidRPr="005C2CBA">
              <w:rPr>
                <w:rFonts w:eastAsia="MS Mincho"/>
                <w:sz w:val="18"/>
                <w:szCs w:val="18"/>
              </w:rPr>
              <w:t xml:space="preserve"> igen</w:t>
            </w:r>
            <w:r w:rsidRPr="005C2CBA">
              <w:rPr>
                <w:b/>
                <w:color w:val="00B0F0"/>
              </w:rPr>
              <w:t xml:space="preserve"> x nem</w:t>
            </w:r>
          </w:p>
          <w:p w14:paraId="240C3B65"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Projekt száma vagy hivatkozási száma:</w:t>
            </w:r>
          </w:p>
        </w:tc>
      </w:tr>
      <w:tr w:rsidR="00810429" w:rsidRPr="005C2CBA" w14:paraId="2D9607EF" w14:textId="77777777" w:rsidTr="0084156F">
        <w:trPr>
          <w:trHeight w:val="1"/>
        </w:trPr>
        <w:tc>
          <w:tcPr>
            <w:tcW w:w="97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416E682"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b/>
                <w:bCs/>
                <w:sz w:val="18"/>
                <w:szCs w:val="18"/>
              </w:rPr>
              <w:t>II.2.14) További információ:</w:t>
            </w:r>
          </w:p>
        </w:tc>
      </w:tr>
    </w:tbl>
    <w:p w14:paraId="6FBB154B" w14:textId="77777777" w:rsidR="00810429" w:rsidRPr="005C2CBA" w:rsidRDefault="00810429" w:rsidP="00810429">
      <w:pPr>
        <w:autoSpaceDE w:val="0"/>
        <w:autoSpaceDN w:val="0"/>
        <w:adjustRightInd w:val="0"/>
        <w:jc w:val="both"/>
        <w:rPr>
          <w:rFonts w:eastAsia="MS Mincho"/>
          <w:sz w:val="22"/>
          <w:szCs w:val="22"/>
        </w:rPr>
      </w:pPr>
    </w:p>
    <w:p w14:paraId="772CC44C" w14:textId="77777777" w:rsidR="00810429" w:rsidRPr="005C2CBA" w:rsidRDefault="00810429" w:rsidP="00810429">
      <w:pPr>
        <w:autoSpaceDE w:val="0"/>
        <w:autoSpaceDN w:val="0"/>
        <w:adjustRightInd w:val="0"/>
        <w:spacing w:before="120" w:after="120"/>
        <w:rPr>
          <w:rFonts w:eastAsia="MS Mincho"/>
          <w:b/>
          <w:bCs/>
          <w:sz w:val="28"/>
          <w:szCs w:val="28"/>
        </w:rPr>
      </w:pPr>
      <w:r w:rsidRPr="005C2CBA">
        <w:rPr>
          <w:rFonts w:eastAsia="MS Mincho"/>
          <w:b/>
          <w:bCs/>
          <w:sz w:val="28"/>
          <w:szCs w:val="28"/>
        </w:rPr>
        <w:t>III. szakasz: Jogi, gazdasági, pénzügyi és műszaki információk</w:t>
      </w:r>
    </w:p>
    <w:p w14:paraId="0B7380BD" w14:textId="77777777" w:rsidR="00810429" w:rsidRPr="005C2CBA" w:rsidRDefault="00810429" w:rsidP="00810429">
      <w:pPr>
        <w:autoSpaceDE w:val="0"/>
        <w:autoSpaceDN w:val="0"/>
        <w:adjustRightInd w:val="0"/>
        <w:spacing w:before="120" w:after="120"/>
        <w:jc w:val="both"/>
        <w:rPr>
          <w:rFonts w:eastAsia="MS Mincho"/>
          <w:sz w:val="22"/>
          <w:szCs w:val="22"/>
        </w:rPr>
      </w:pPr>
    </w:p>
    <w:p w14:paraId="691E8024"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III.1) Részvételi feltételek</w:t>
      </w:r>
    </w:p>
    <w:tbl>
      <w:tblPr>
        <w:tblW w:w="0" w:type="auto"/>
        <w:tblInd w:w="-106" w:type="dxa"/>
        <w:tblLayout w:type="fixed"/>
        <w:tblLook w:val="0000" w:firstRow="0" w:lastRow="0" w:firstColumn="0" w:lastColumn="0" w:noHBand="0" w:noVBand="0"/>
      </w:tblPr>
      <w:tblGrid>
        <w:gridCol w:w="9734"/>
      </w:tblGrid>
      <w:tr w:rsidR="00810429" w:rsidRPr="005C2CBA" w14:paraId="45D498C1" w14:textId="77777777" w:rsidTr="0084156F">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5226C8BB"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III.1.1) Az ajánlattevő/részvételre jelentkező alkalmassága az adott szakmai tevékenység végzésére, ideértve a szakmai és cégnyilvántartásokba történő bejegyzésre vonatkozó előírásokat is</w:t>
            </w:r>
          </w:p>
          <w:p w14:paraId="34EF9E1A"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A feltételek felsorolása és rövid ismertetése:</w:t>
            </w:r>
          </w:p>
          <w:p w14:paraId="6791220F" w14:textId="519A98E3" w:rsidR="00810429" w:rsidRPr="005C2CBA" w:rsidRDefault="00810429" w:rsidP="006F740A">
            <w:pPr>
              <w:autoSpaceDE w:val="0"/>
              <w:autoSpaceDN w:val="0"/>
              <w:adjustRightInd w:val="0"/>
              <w:spacing w:before="120" w:after="120"/>
              <w:rPr>
                <w:rFonts w:ascii="Calibri" w:eastAsia="MS Mincho" w:hAnsi="Calibri"/>
              </w:rPr>
            </w:pPr>
            <w:r w:rsidRPr="005C2CBA">
              <w:rPr>
                <w:b/>
                <w:color w:val="00B0F0"/>
              </w:rPr>
              <w:t>Az eljárásban nem lehet ajánlattevő (közös ajánlattevő), alvállalkozó és nem vehet részt az alkalmasság igazolásában olyan gazdasági szereplő, akivel szemben a Kbt. 62.§ (1) és (2) bekezdésében meghatározott kizáró okok bármelyike fennáll.</w:t>
            </w:r>
            <w:r w:rsidRPr="005C2CBA">
              <w:rPr>
                <w:b/>
                <w:color w:val="00B0F0"/>
              </w:rPr>
              <w:br/>
            </w:r>
            <w:r w:rsidRPr="005C2CBA">
              <w:rPr>
                <w:rFonts w:eastAsia="MS Mincho"/>
                <w:sz w:val="18"/>
                <w:szCs w:val="18"/>
              </w:rPr>
              <w:t>Az igazolási módok felsorolása és rövid leírása:</w:t>
            </w:r>
            <w:r w:rsidRPr="005C2CBA">
              <w:rPr>
                <w:rFonts w:eastAsia="MS Mincho"/>
                <w:sz w:val="18"/>
                <w:szCs w:val="18"/>
              </w:rPr>
              <w:br/>
            </w:r>
            <w:r w:rsidRPr="005C2CBA">
              <w:rPr>
                <w:b/>
                <w:color w:val="00B0F0"/>
              </w:rPr>
              <w:t>Az ajánlattevőnek és az alkalmasság igazolásában részt vevő gazdasági szereplőnek az ajánlatában a közbeszerzési eljárásokban az alkalmasság és a kizáró okok igazolásának, valamint a közbeszerzési műszaki leírás meghatározásának módjáról szóló 321/2015. (X.30.) Korm. rendelet II. fejezetének megfelelően, az egységes európai közbeszerzési dokumentum benyújtásával kell előzetesen igazolnia, hogy nem tartozik a Kbt. 62. § (1) és (2) bekezdésekben meghatározott kizáró okok hatálya alá. Közös ajánlattétel esetén a közös ajánlattevők mindegyikének külön formanyomtatványt kell benyújtania.</w:t>
            </w:r>
            <w:r w:rsidRPr="005C2CBA">
              <w:rPr>
                <w:b/>
                <w:color w:val="00B0F0"/>
              </w:rPr>
              <w:br/>
              <w:t>Az ajánlatban be kell nyújtani az ajánlattevőnek arra vonatkozó nyilatkozatát, hogy nem vesz igénybe a szerződés teljesítéséhez a Kbt. 62. § szerinti kizáró okok hatálya alá eső alvállalkozót. Az ajánlatkérő által a Kbt. 69. § (4)-(8) bekezdése alapján a kizáró okokra és az alkalmassági követelményekre vonatkozó igazolások benyújtására felhívott gazdasági szereplőnek a 321/2015.(X.30.) Korm. rendelet III. fejezetének megfelelően kell igazolnia, hogy nem tartozik az eljárásban előírt kizáró okok hatálya alá.</w:t>
            </w:r>
            <w:r w:rsidRPr="005C2CBA">
              <w:rPr>
                <w:b/>
                <w:color w:val="00B0F0"/>
              </w:rPr>
              <w:br/>
              <w:t>A 321/2015.(X.30.) Korm. rendelet 15. §-a szerint az ajánlattevő, az alkalmasság igazolásában részt vevő alvállalkozó vagy más szervezet vonatkozásában csak az egységes európai közbeszerzési dokumentumot köteles benyújtani a Kbt. 62. §-ában</w:t>
            </w:r>
            <w:r w:rsidR="006F740A" w:rsidRPr="005C2CBA">
              <w:rPr>
                <w:b/>
                <w:color w:val="00B0F0"/>
              </w:rPr>
              <w:t xml:space="preserve"> </w:t>
            </w:r>
            <w:r w:rsidRPr="005C2CBA">
              <w:rPr>
                <w:b/>
                <w:color w:val="00B0F0"/>
              </w:rPr>
              <w:t>foglalt kizáró okok hiányának igazolása érdekében. Azon alvállalkozók tekintetében, amelyek nem vesznek részt alkalmasság igazolásában az ajánlattevő vagy részvételre jelentkező a Kbt. 67. § (4) bekezdése szerinti nyilatkozatot nyújt be.</w:t>
            </w:r>
            <w:r w:rsidRPr="005C2CBA">
              <w:rPr>
                <w:b/>
                <w:color w:val="00B0F0"/>
              </w:rPr>
              <w:br/>
              <w:t>Ajánlatkérő felhívja a figyelmet a Kbt. 64. §-ra. Ajánlatkérő kizárja az eljárásból azt az ajánlattevőt (közös ajánlattevő), alvállalkozót, alkalmasság igazolásában részvevő gazdasági szereplőt, aki részéről a kizáró ok az eljárás során következett be (Kbt. 74. § (1) bekezdés b) pont).</w:t>
            </w:r>
            <w:r w:rsidRPr="005C2CBA">
              <w:rPr>
                <w:b/>
                <w:color w:val="00B0F0"/>
              </w:rPr>
              <w:br/>
            </w:r>
          </w:p>
        </w:tc>
      </w:tr>
      <w:tr w:rsidR="00810429" w:rsidRPr="005C2CBA" w14:paraId="668E4AD8" w14:textId="77777777" w:rsidTr="0084156F">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07F4EEE5"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III.1.2) Gazdasági és pénzügyi alkalmasság</w:t>
            </w:r>
          </w:p>
          <w:p w14:paraId="5A7D854E" w14:textId="77777777" w:rsidR="00810429" w:rsidRPr="005C2CBA" w:rsidRDefault="00810429" w:rsidP="0084156F">
            <w:pPr>
              <w:autoSpaceDE w:val="0"/>
              <w:autoSpaceDN w:val="0"/>
              <w:adjustRightInd w:val="0"/>
              <w:spacing w:before="120" w:after="120"/>
              <w:rPr>
                <w:rFonts w:eastAsia="MS Mincho"/>
                <w:sz w:val="18"/>
                <w:szCs w:val="18"/>
              </w:rPr>
            </w:pPr>
            <w:r w:rsidRPr="005C2CBA">
              <w:rPr>
                <w:b/>
                <w:color w:val="00B0F0"/>
              </w:rPr>
              <w:t xml:space="preserve"> </w:t>
            </w:r>
            <w:r w:rsidRPr="005C2CBA">
              <w:rPr>
                <w:rFonts w:eastAsia="MS Mincho"/>
                <w:sz w:val="18"/>
                <w:szCs w:val="18"/>
              </w:rPr>
              <w:t>A közbeszerzési dokumentációban megadott kiválasztási szempontok</w:t>
            </w:r>
          </w:p>
          <w:p w14:paraId="1C6FF16E"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A kiválasztási szempontok felsorolása és rövid ismertetése: </w:t>
            </w:r>
          </w:p>
          <w:p w14:paraId="0D8DD89D" w14:textId="77777777" w:rsidR="00A922A5" w:rsidRPr="005C2CBA" w:rsidRDefault="00810429" w:rsidP="00A922A5">
            <w:pPr>
              <w:autoSpaceDE w:val="0"/>
              <w:autoSpaceDN w:val="0"/>
              <w:adjustRightInd w:val="0"/>
              <w:spacing w:before="120" w:after="120"/>
              <w:jc w:val="both"/>
              <w:rPr>
                <w:b/>
                <w:color w:val="00B0F0"/>
              </w:rPr>
            </w:pPr>
            <w:r w:rsidRPr="005C2CBA">
              <w:rPr>
                <w:b/>
                <w:color w:val="00B0F0"/>
              </w:rPr>
              <w:t>P.1.) Ajánlattevőnek (közös ajánlattevőnek) csatolnia kell - a 321/2015. (X.30.) Korm. rendelet 19. § (1) bekezdés b) pontja alapján az ajánlattételi határidő lejártát megelőző utolsó, három lezárt üzleti év tekintetében az alkalmasságot igazoló gazdasági szereplő saját vagy jogelődje számviteli jogszabályok szerinti beszámoló egy részének benyújtása (eredmény kimutatás), ha a gazdasági szereplő letelepedés szerinti ország joga előírja közzétételét.</w:t>
            </w:r>
            <w:r w:rsidRPr="005C2CBA">
              <w:rPr>
                <w:b/>
                <w:color w:val="00B0F0"/>
              </w:rPr>
              <w:br/>
              <w:t>Amennyiben az ajánlatkérő által kért beszámoló a céginformációs szolgálat honlapján megismerhető, a beszámoló adatait az ajánlatkérő ellenőrzi, ebben az esetben a beszámoló csatolása nem szükséges.</w:t>
            </w:r>
          </w:p>
          <w:p w14:paraId="15BBB5BC" w14:textId="77777777" w:rsidR="006F740A" w:rsidRPr="005C2CBA" w:rsidRDefault="00810429" w:rsidP="00A922A5">
            <w:pPr>
              <w:autoSpaceDE w:val="0"/>
              <w:autoSpaceDN w:val="0"/>
              <w:adjustRightInd w:val="0"/>
              <w:spacing w:before="120" w:after="120"/>
              <w:jc w:val="both"/>
              <w:rPr>
                <w:b/>
                <w:color w:val="00B0F0"/>
              </w:rPr>
            </w:pPr>
            <w:r w:rsidRPr="005C2CBA">
              <w:rPr>
                <w:b/>
                <w:color w:val="00B0F0"/>
              </w:rPr>
              <w:br/>
              <w:t>Ajánlatkérő a 321/2015. (X.30.) Korm. rendelet 19. § (1) bekezdés (2) bekezdésével összhangban közli, hogy a (2) bekezdésében foglalt körülmények fennállása esetén a később létrejött gazdasági szereplőknek a (2) bekezdésben meghatározottak szerint a közbeszerzés tárgyából származó nettó árbevételt kell nyilatkozat formájában igazolniuk.</w:t>
            </w:r>
          </w:p>
          <w:p w14:paraId="5D37B7B3" w14:textId="77777777" w:rsidR="00810429" w:rsidRPr="005C2CBA" w:rsidRDefault="00810429" w:rsidP="00A922A5">
            <w:pPr>
              <w:autoSpaceDE w:val="0"/>
              <w:autoSpaceDN w:val="0"/>
              <w:adjustRightInd w:val="0"/>
              <w:spacing w:before="120" w:after="120"/>
              <w:jc w:val="both"/>
              <w:rPr>
                <w:b/>
                <w:color w:val="00B0F0"/>
              </w:rPr>
            </w:pPr>
            <w:r w:rsidRPr="005C2CBA">
              <w:rPr>
                <w:b/>
                <w:color w:val="00B0F0"/>
              </w:rPr>
              <w:br/>
              <w:t>P.2.) Ajánlattevőnek (közös ajánlattevőnek) csatolnia kell - a 321/2015. (X.30.) Korm. rendelet 19. § (1) bekezdés d) pontja alapján igazolást (biztosítási kötvény egyszerű másolati példányának vagy biztosítótól származó igazolás egyszerű másolati példányának) és az utolsó biztosítási díj megfizetésének igazolását legalább az alkalmassági feltételekben előírt szakmai felelősségbiztosítás mértékének és meglétének és érvényességének igazolására.</w:t>
            </w:r>
          </w:p>
          <w:p w14:paraId="3D8F3607" w14:textId="77777777" w:rsidR="00810429" w:rsidRPr="005C2CBA" w:rsidRDefault="00810429" w:rsidP="00A922A5">
            <w:pPr>
              <w:autoSpaceDE w:val="0"/>
              <w:autoSpaceDN w:val="0"/>
              <w:adjustRightInd w:val="0"/>
              <w:spacing w:before="120" w:after="120"/>
              <w:jc w:val="both"/>
              <w:rPr>
                <w:rFonts w:eastAsia="MS Mincho"/>
                <w:sz w:val="18"/>
                <w:szCs w:val="18"/>
              </w:rPr>
            </w:pPr>
            <w:r w:rsidRPr="005C2CBA">
              <w:rPr>
                <w:rFonts w:eastAsia="MS Mincho"/>
                <w:sz w:val="18"/>
                <w:szCs w:val="18"/>
              </w:rPr>
              <w:t>Az alkalmasság minimumkövetelménye(i):</w:t>
            </w:r>
          </w:p>
          <w:p w14:paraId="3A1888E1" w14:textId="77777777" w:rsidR="006F740A" w:rsidRPr="005C2CBA" w:rsidRDefault="00810429" w:rsidP="00A922A5">
            <w:pPr>
              <w:autoSpaceDE w:val="0"/>
              <w:autoSpaceDN w:val="0"/>
              <w:adjustRightInd w:val="0"/>
              <w:spacing w:before="120" w:after="120"/>
              <w:jc w:val="both"/>
              <w:rPr>
                <w:rFonts w:eastAsia="MS Mincho"/>
                <w:sz w:val="18"/>
                <w:szCs w:val="18"/>
              </w:rPr>
            </w:pPr>
            <w:r w:rsidRPr="005C2CBA">
              <w:rPr>
                <w:rFonts w:eastAsia="MS Mincho"/>
                <w:sz w:val="18"/>
                <w:szCs w:val="18"/>
              </w:rPr>
              <w:t>Ajánlattevő alkalmatlan ha</w:t>
            </w:r>
          </w:p>
          <w:p w14:paraId="5A47ED83" w14:textId="0AEC1430" w:rsidR="00A922A5" w:rsidRPr="005C2CBA" w:rsidRDefault="00810429" w:rsidP="00A922A5">
            <w:pPr>
              <w:autoSpaceDE w:val="0"/>
              <w:autoSpaceDN w:val="0"/>
              <w:adjustRightInd w:val="0"/>
              <w:spacing w:before="120" w:after="120"/>
              <w:jc w:val="both"/>
              <w:rPr>
                <w:b/>
                <w:color w:val="00B0F0"/>
              </w:rPr>
            </w:pPr>
            <w:r w:rsidRPr="005C2CBA">
              <w:rPr>
                <w:rFonts w:eastAsia="MS Mincho"/>
                <w:sz w:val="18"/>
                <w:szCs w:val="18"/>
              </w:rPr>
              <w:br/>
            </w:r>
            <w:r w:rsidRPr="005C2CBA">
              <w:rPr>
                <w:b/>
                <w:color w:val="00B0F0"/>
              </w:rPr>
              <w:t>P/1.) ha adózott eredménye az előző 3 lezárt üzleti év során egyszer is negatív volt.</w:t>
            </w:r>
            <w:r w:rsidRPr="005C2CBA">
              <w:rPr>
                <w:b/>
                <w:color w:val="00B0F0"/>
              </w:rPr>
              <w:br/>
              <w:t xml:space="preserve">Ajánlatkérő a 321/2015. (X.30.) Korm. rendelet 19. § (1) bekezdés (2) bekezdésével összhangban közli, hogy a (2) bekezdésében foglalt körülmények fennállása esetén a később létrejött gazdasági szereplőknek a közbeszerzés tárgyából (parkoló automaták szállítása, beüzemelése és műszaki jellegű folyamatos üzemeltetése) származó nettó árbevételének megkövetelt mértéke </w:t>
            </w:r>
            <w:r w:rsidR="007B5D34" w:rsidRPr="005C2CBA">
              <w:rPr>
                <w:b/>
                <w:color w:val="00B0F0"/>
              </w:rPr>
              <w:t>2</w:t>
            </w:r>
            <w:r w:rsidR="00CD42D6" w:rsidRPr="005C2CBA">
              <w:rPr>
                <w:b/>
                <w:color w:val="00B0F0"/>
              </w:rPr>
              <w:t>00.000.000,-</w:t>
            </w:r>
            <w:r w:rsidRPr="005C2CBA">
              <w:rPr>
                <w:b/>
                <w:color w:val="00B0F0"/>
              </w:rPr>
              <w:t xml:space="preserve"> HUF.</w:t>
            </w:r>
          </w:p>
          <w:p w14:paraId="146FA943" w14:textId="1DCF1F2D" w:rsidR="00810429" w:rsidRPr="005C2CBA" w:rsidRDefault="00810429" w:rsidP="00A922A5">
            <w:pPr>
              <w:autoSpaceDE w:val="0"/>
              <w:autoSpaceDN w:val="0"/>
              <w:adjustRightInd w:val="0"/>
              <w:spacing w:before="120" w:after="120"/>
              <w:jc w:val="both"/>
              <w:rPr>
                <w:b/>
                <w:color w:val="00B0F0"/>
              </w:rPr>
            </w:pPr>
            <w:r w:rsidRPr="005C2CBA">
              <w:rPr>
                <w:b/>
                <w:color w:val="00B0F0"/>
              </w:rPr>
              <w:br/>
              <w:t>P/2.) nem rendelkezik az ajánlattételi határidő lejártakor érvényes, parkoló automaták üzemeltetése és/vagy karbantartása szerinti tevékenységre kiterjedő szakmai felelősségbiztosítással minimum 200 000 000 HUF/év és legalább 20 000 000 HUF/káresemény mértékig.</w:t>
            </w:r>
          </w:p>
          <w:p w14:paraId="1ABD2DAF" w14:textId="2DEBBB7E" w:rsidR="00810429" w:rsidRPr="005C2CBA" w:rsidRDefault="00810429">
            <w:pPr>
              <w:autoSpaceDE w:val="0"/>
              <w:autoSpaceDN w:val="0"/>
              <w:adjustRightInd w:val="0"/>
              <w:spacing w:before="120" w:after="120"/>
              <w:jc w:val="both"/>
              <w:rPr>
                <w:rFonts w:ascii="Calibri" w:eastAsia="MS Mincho" w:hAnsi="Calibri"/>
              </w:rPr>
            </w:pPr>
            <w:r w:rsidRPr="005C2CBA">
              <w:rPr>
                <w:b/>
                <w:color w:val="00B0F0"/>
              </w:rPr>
              <w:t>A 321/2015. (X. 30.) Korm. rendelet 2. § (5) bekezdése alapján ajánlatkérő tájékoztatja a ajánlattevőket, hogy az alkalmassági követelmények előzetes igazolására elfogadja az érintett gazdasági szereplő egyszerű, EEKD IV. szakasz a.) pontja szerinti nyilatkozatát, nem kéri a formanyomtatvány IV. részében szereplő részletes információk megadását. </w:t>
            </w:r>
            <w:r w:rsidRPr="005C2CBA">
              <w:rPr>
                <w:b/>
                <w:color w:val="00B0F0"/>
              </w:rPr>
              <w:br/>
              <w:t>A Kbt. 69. § (4) bekezdésének megfelelően, ajánlatkérő az eljárás eredményéről szóló döntés meghozatalát megelőzően az értékelési szempontokra figyelemmel legkedvezőbbnek tekinthető ajánlattevőt öt munkanapos határidő tűzésével felhívja a kizáró okok, az alkalmassági követelmények tekintetében az eljárást megindító felhívásban előírt igazolások benyújtására.</w:t>
            </w:r>
            <w:r w:rsidRPr="005C2CBA">
              <w:rPr>
                <w:b/>
                <w:color w:val="00B0F0"/>
              </w:rPr>
              <w:br/>
              <w:t>A Kbt. 140. § (9) bek. alapján a konzorcium/projekttársaság teljesítését az alkalmasság igazolására árbevételként a konzorcium/projekttársaság mindazon tulajdonosai bemutathatják, akik a teljesítésben ténylegesen részt vettek - a részvétel mértékéig -, akkor is, ha a konzorcium/projekttársaság időközben megszűnt.</w:t>
            </w:r>
            <w:r w:rsidRPr="005C2CBA">
              <w:rPr>
                <w:b/>
                <w:color w:val="00B0F0"/>
              </w:rPr>
              <w:br/>
              <w:t>A Kbt. 65. § (6) bekezdés szerint az előírt alkalmassági követelményeknek a közös ajánlattevők együttesen is megfelelhetnek. Azon követelményeknek, amelyeknek értelemszerűen kizárólag egyenként vonatkoztathatóak a gazdasági szereplőkre, az együttes megfelelés lehetősége értelmében elegendő, ha közülük egy felel meg.</w:t>
            </w:r>
            <w:r w:rsidRPr="005C2CBA">
              <w:rPr>
                <w:b/>
                <w:color w:val="00B0F0"/>
              </w:rPr>
              <w:br/>
              <w:t>A Kbt. 65.§ (7) bekezdésnek megfelelően az előírt alkalmassági követelményeknek az ajánlattevők bármelymás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w:t>
            </w:r>
            <w:r w:rsidRPr="005C2CBA">
              <w:rPr>
                <w:b/>
                <w:color w:val="00B0F0"/>
              </w:rPr>
              <w:br/>
              <w:t>A Kbt. 65.§ (8) bekezdés alapján az a szervezet, amelynek adatait az ajánlattevő gazdasági és pénzügyi alkalmasság igazolásához felhasználja, a Ptk. 6:419. §-ban foglaltak szerint kezesként felel az ajánlatkérőt az ajánlattevő teljesítésének elmaradásával vagy hibás teljesítésével összefüggésben ért kár megtérítéséért.</w:t>
            </w:r>
            <w:r w:rsidRPr="005C2CBA">
              <w:rPr>
                <w:b/>
                <w:color w:val="00B0F0"/>
              </w:rPr>
              <w:br/>
              <w:t>A Kbt. 65. § (11) bek. szerint nem használhatja fel a gazdasági szereplő alkalmassága igazolására azokat az adatokat, amelyek felhasználására jogutódlás eredményeként - a jogelőd (7) bekezdés szerinti bevonása nélkül- maga lenne jogosult, ha a jogelőd gazdasági szereplő tekintetében az eljárásban alkalmazandó valamely kizáró ok fennáll, vagy - ha a jogelőd megszűnt - megszűnése hiányában fennállna. A gazdasági szereplő ebben az esetben is élhet a Kbt. 64. § szerinti lehetőséggel és felhasználhatja a jogelődnek az alkalmasság igazolására szolgáló adatait, ha a korábban felmerült kizáró okkal összefüggésben igazolja megbízhatóságát</w:t>
            </w:r>
            <w:r w:rsidRPr="005C2CBA">
              <w:rPr>
                <w:rFonts w:eastAsia="MS Mincho"/>
                <w:sz w:val="18"/>
                <w:szCs w:val="18"/>
              </w:rPr>
              <w:t xml:space="preserve"> </w:t>
            </w:r>
            <w:r w:rsidRPr="005C2CBA">
              <w:rPr>
                <w:rFonts w:eastAsia="MS Mincho"/>
                <w:b/>
                <w:bCs/>
                <w:sz w:val="18"/>
                <w:szCs w:val="18"/>
                <w:vertAlign w:val="superscript"/>
              </w:rPr>
              <w:t>2</w:t>
            </w:r>
          </w:p>
        </w:tc>
      </w:tr>
      <w:tr w:rsidR="00810429" w:rsidRPr="005C2CBA" w14:paraId="49DFFAD1" w14:textId="77777777" w:rsidTr="0084156F">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7BDA2A1D"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III.1.3) Műszaki, illetve szakmai alkalmasság</w:t>
            </w:r>
          </w:p>
          <w:p w14:paraId="7B8E9F14"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 közbeszerzési dokumentációban megadott kiválasztási szempontok</w:t>
            </w:r>
          </w:p>
          <w:p w14:paraId="2979CEE8"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A kiválasztási szempontok felsorolása és rövid ismertetése: </w:t>
            </w:r>
          </w:p>
          <w:p w14:paraId="410371DF" w14:textId="77777777" w:rsidR="00CD42D6" w:rsidRPr="005C2CBA" w:rsidRDefault="00810429" w:rsidP="00CD42D6">
            <w:pPr>
              <w:autoSpaceDE w:val="0"/>
              <w:autoSpaceDN w:val="0"/>
              <w:adjustRightInd w:val="0"/>
              <w:spacing w:before="120" w:after="120"/>
              <w:jc w:val="both"/>
              <w:rPr>
                <w:rFonts w:eastAsia="MS Mincho"/>
                <w:sz w:val="18"/>
                <w:szCs w:val="18"/>
              </w:rPr>
            </w:pPr>
            <w:r w:rsidRPr="005C2CBA">
              <w:rPr>
                <w:rFonts w:eastAsia="MS Mincho"/>
                <w:sz w:val="18"/>
                <w:szCs w:val="18"/>
              </w:rPr>
              <w:t>Az alkalmasság megítéléséhez szükséges adatok és a megkövetelt igazolási mód:</w:t>
            </w:r>
          </w:p>
          <w:p w14:paraId="3C345ED0" w14:textId="747D7DC4" w:rsidR="00810429" w:rsidRPr="005C2CBA" w:rsidRDefault="00810429" w:rsidP="00CD42D6">
            <w:pPr>
              <w:autoSpaceDE w:val="0"/>
              <w:autoSpaceDN w:val="0"/>
              <w:adjustRightInd w:val="0"/>
              <w:spacing w:before="120" w:after="120"/>
              <w:jc w:val="both"/>
              <w:rPr>
                <w:b/>
                <w:color w:val="00B0F0"/>
              </w:rPr>
            </w:pPr>
            <w:r w:rsidRPr="005C2CBA">
              <w:rPr>
                <w:rFonts w:eastAsia="MS Mincho"/>
                <w:sz w:val="18"/>
                <w:szCs w:val="18"/>
              </w:rPr>
              <w:t> </w:t>
            </w:r>
            <w:r w:rsidRPr="005C2CBA">
              <w:rPr>
                <w:rFonts w:eastAsia="MS Mincho"/>
                <w:sz w:val="18"/>
                <w:szCs w:val="18"/>
              </w:rPr>
              <w:br/>
            </w:r>
            <w:r w:rsidRPr="005C2CBA">
              <w:rPr>
                <w:b/>
                <w:color w:val="00B0F0"/>
              </w:rPr>
              <w:t xml:space="preserve">M.1) A 321/2015. (X. 30.) Korm. rendelet 21. § (3) bekezdés a) pontja alapján csatolni kell - a 321/2015. (X. 30.) Korm. rendelet 22. § (1)-(2) bekezdésének megfelelően igazolva - az eljárást megindító ajánlati felhívás </w:t>
            </w:r>
            <w:r w:rsidR="00CD42D6" w:rsidRPr="005C2CBA">
              <w:rPr>
                <w:b/>
                <w:color w:val="00B0F0"/>
              </w:rPr>
              <w:t xml:space="preserve">megküldésétől </w:t>
            </w:r>
            <w:r w:rsidRPr="005C2CBA">
              <w:rPr>
                <w:b/>
                <w:color w:val="00B0F0"/>
              </w:rPr>
              <w:t>visszafelé számított megelőző 36 hó vonatkozásában a közbeszerzés tárgya szerinti referenciát.</w:t>
            </w:r>
            <w:r w:rsidRPr="005C2CBA">
              <w:rPr>
                <w:b/>
                <w:color w:val="00B0F0"/>
              </w:rPr>
              <w:br/>
              <w:t>[A referencia nyilatkozatot/igazolást olyan adattartalommal kell megtenni, hogy abból az alkalmasság megállapítható legyen, amely tartalmazza legalább az alábbi adatokat: teljesítés ideje, a szerződést kötő másik fél, a referencia tárgya, a teljesített mennyiség leírása, továbbá nyilatkozni kell arról, hogy a teljesítés az előírásoknak és szerződésnek megfelelően történt-e.]</w:t>
            </w:r>
            <w:r w:rsidRPr="005C2CBA">
              <w:rPr>
                <w:b/>
                <w:color w:val="00B0F0"/>
              </w:rPr>
              <w:br/>
              <w:t>M.2) A 321/2015. (X. 30.) Korm. rendelet 21. § (3) bekezdés b) pontja alapján csatolandó a teljesítésébe bevonni kívánt szakemberek esetében a szakember képzettségét igazoló dokumentum egyszerű másolata, valamint csatolandó a szakmai tapasztalat ismertetését is tartalmazó, a szakember által aláírt szakmai önéletrajz és rendelkezésre állási nyilatkozat. A becsatolt szakmai önéletrajz az előírt valamennyi szakmai tapasztalatmeglétének igazolására szolgál, ezért ezt oly módon kell becsatolni, hogy az előírt szakmai tapasztalat megléte egyértelműen megállapítható legyen.</w:t>
            </w:r>
            <w:r w:rsidRPr="005C2CBA">
              <w:rPr>
                <w:b/>
                <w:color w:val="00B0F0"/>
              </w:rPr>
              <w:br/>
              <w:t>A szakmai tapasztalatként előírt időtartam alatt Ajánlatkérő az években meghatározott szakmai tapasztaltvizsgálata során egy évet 12 hónapos időtartamnak vesz figyelembe.</w:t>
            </w:r>
            <w:r w:rsidRPr="005C2CBA">
              <w:rPr>
                <w:b/>
                <w:color w:val="00B0F0"/>
              </w:rPr>
              <w:br/>
              <w:t>M.3) A 321/2015. (X. 30.) Korm. rendelet 21. §. § (3) bekezdés e) pontja alapján csatolni kell a parkoló automaták üzemeltetése tevékenységre vonatkozó  tanúsítványt egyszerű másolati formában, vagy az Európai Unió más tagállamában bejegyzett szervezettől származó egyenértékű tanúsítványt egyszerű másolati formában, vagy egyenértékű minőségbiztosítási intézkedés egyéb bizonyítékát egyszerű másolati formában [321/2015. (X. 30.) Korm. rendelet 24. § (3) bekezdés].</w:t>
            </w:r>
          </w:p>
          <w:p w14:paraId="4026337E" w14:textId="1F549305" w:rsidR="00810429" w:rsidRPr="005C2CBA" w:rsidRDefault="00810429" w:rsidP="00CD42D6">
            <w:pPr>
              <w:autoSpaceDE w:val="0"/>
              <w:autoSpaceDN w:val="0"/>
              <w:adjustRightInd w:val="0"/>
              <w:spacing w:before="120" w:after="120"/>
              <w:jc w:val="both"/>
              <w:rPr>
                <w:b/>
                <w:color w:val="00B0F0"/>
              </w:rPr>
            </w:pPr>
            <w:r w:rsidRPr="005C2CBA">
              <w:rPr>
                <w:b/>
                <w:color w:val="00B0F0"/>
              </w:rPr>
              <w:t>M.4) A 321/2015. (X. 30.) Korm. rendelet 21. § (3) bekezdés h) pontja alapján csatolandó az utolsó lezárt üzleti évre vonatkozó éves átlagos statisztikai állományi létszámról készült kimutatás</w:t>
            </w:r>
            <w:r w:rsidRPr="005C2CBA">
              <w:rPr>
                <w:b/>
                <w:color w:val="00B0F0"/>
              </w:rPr>
              <w:br/>
              <w:t>M.5.) A 321/2015. (X. 30.) Korm. rendelet 21. §. § (3) bekezdés i) pontja alapján csatolni kell az előírt gépjárművek, valamint a nagy-teljesítményű érmeszámláló gép felhasználását lehetővé tevő (azaz az ajánlattevő, alvállalkozó, kapacitást nyújtó szervezet nevére szóló) dokumentum (tulajdonjog/használati jog fennállását igazoló okirat, forgalmi engedély, gépjármű biztosítás fennállásának igazolása) másolatát, továbbá a megajánlott parkoló automata műszaki leírásban előírt követelmények teljesítését bemutató műszaki leírását. </w:t>
            </w:r>
            <w:r w:rsidRPr="005C2CBA">
              <w:rPr>
                <w:b/>
                <w:color w:val="00B0F0"/>
              </w:rPr>
              <w:br/>
              <w:t>A 321/2015. (X. 30.) Korm. rendelet 2. § (5) bekezdése alapján ajánlatkérő tájékoztatja a ajánlattevőket, hogy az alkalmassági követelmények előzetes igazolására elfogadja az érintett gazdasági szereplő egyszerű, EEKD IV. szakasz a.) pontja szerinti nyilatkozatát, nem kéri a formanyomtatvány IV. részében szereplő részletes információk megadását. </w:t>
            </w:r>
            <w:r w:rsidRPr="005C2CBA">
              <w:rPr>
                <w:b/>
                <w:color w:val="00B0F0"/>
              </w:rPr>
              <w:br/>
              <w:t>A Kbt. 69. § (4) bekezdésének megfelelően, ajánlatkérő az eljárás eredményéről szóló döntés meghozatalát megelőzően az értékelési szempontokra figyelemmel legkedvezőbbnek tekinthető ajánlattevőt öt munkanapos határidő tűzésével felhívja a kizáró okok, az alkalmassági követelmények tekintetében az eljárást megindító felhívásban előírt igazolások benyújtására.</w:t>
            </w:r>
            <w:r w:rsidRPr="005C2CBA">
              <w:rPr>
                <w:b/>
                <w:color w:val="00B0F0"/>
              </w:rPr>
              <w:br/>
              <w:t>Közös ajánlattétel esetén az előírt alkalmassági követelménynek elegendő, ha közös ajánlattevők egyike megfelel.(Kbt. 65.§ (6) bek)</w:t>
            </w:r>
            <w:r w:rsidRPr="005C2CBA">
              <w:rPr>
                <w:b/>
                <w:color w:val="00B0F0"/>
              </w:rPr>
              <w:br/>
              <w:t>A Kbt. 65. § (7) bekezdésnek megfelelően az előírt alkalmassági követelményeknek az ajánlattevők bármelymás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w:t>
            </w:r>
          </w:p>
          <w:p w14:paraId="14925220" w14:textId="77777777" w:rsidR="00810429" w:rsidRPr="005C2CBA" w:rsidRDefault="00810429" w:rsidP="0084156F">
            <w:pPr>
              <w:autoSpaceDE w:val="0"/>
              <w:autoSpaceDN w:val="0"/>
              <w:adjustRightInd w:val="0"/>
              <w:spacing w:before="120" w:after="120"/>
              <w:jc w:val="both"/>
              <w:rPr>
                <w:rFonts w:eastAsia="MS Mincho"/>
                <w:sz w:val="18"/>
                <w:szCs w:val="18"/>
              </w:rPr>
            </w:pPr>
            <w:r w:rsidRPr="005C2CBA">
              <w:rPr>
                <w:rFonts w:eastAsia="MS Mincho"/>
                <w:sz w:val="18"/>
                <w:szCs w:val="18"/>
              </w:rPr>
              <w:t>Az alkalmasság minimumkövetelménye(i):</w:t>
            </w:r>
          </w:p>
          <w:p w14:paraId="4C6557F0" w14:textId="77777777" w:rsidR="00CD42D6" w:rsidRPr="005C2CBA" w:rsidRDefault="00810429" w:rsidP="00CD42D6">
            <w:pPr>
              <w:autoSpaceDE w:val="0"/>
              <w:autoSpaceDN w:val="0"/>
              <w:adjustRightInd w:val="0"/>
              <w:spacing w:before="120" w:after="120"/>
              <w:jc w:val="both"/>
              <w:rPr>
                <w:rFonts w:eastAsia="MS Mincho"/>
                <w:sz w:val="18"/>
                <w:szCs w:val="18"/>
              </w:rPr>
            </w:pPr>
            <w:r w:rsidRPr="005C2CBA">
              <w:rPr>
                <w:rFonts w:eastAsia="MS Mincho"/>
                <w:sz w:val="18"/>
                <w:szCs w:val="18"/>
              </w:rPr>
              <w:t>Ajánlattevő alkalmatlan ha</w:t>
            </w:r>
          </w:p>
          <w:p w14:paraId="66EB6282" w14:textId="28063DDF" w:rsidR="00810429" w:rsidRPr="005C2CBA" w:rsidRDefault="00810429" w:rsidP="00CD42D6">
            <w:pPr>
              <w:autoSpaceDE w:val="0"/>
              <w:autoSpaceDN w:val="0"/>
              <w:adjustRightInd w:val="0"/>
              <w:spacing w:before="120" w:after="120"/>
              <w:jc w:val="both"/>
              <w:rPr>
                <w:b/>
                <w:color w:val="00B0F0"/>
              </w:rPr>
            </w:pPr>
            <w:r w:rsidRPr="005C2CBA">
              <w:rPr>
                <w:rFonts w:eastAsia="MS Mincho"/>
                <w:sz w:val="18"/>
                <w:szCs w:val="18"/>
              </w:rPr>
              <w:br/>
            </w:r>
            <w:r w:rsidRPr="005C2CBA">
              <w:rPr>
                <w:b/>
                <w:color w:val="00B0F0"/>
              </w:rPr>
              <w:t>M/1: nem rendelkezik a jelen felhívás</w:t>
            </w:r>
            <w:r w:rsidR="00CD42D6" w:rsidRPr="005C2CBA">
              <w:rPr>
                <w:b/>
                <w:color w:val="00B0F0"/>
              </w:rPr>
              <w:t xml:space="preserve"> megküldésétől </w:t>
            </w:r>
            <w:r w:rsidRPr="005C2CBA">
              <w:rPr>
                <w:b/>
                <w:color w:val="00B0F0"/>
              </w:rPr>
              <w:t>visszafelé számított 36 hónapban  összesen legalább egy </w:t>
            </w:r>
          </w:p>
          <w:p w14:paraId="6F2F0AA3" w14:textId="634DFE03" w:rsidR="00CD42D6" w:rsidRPr="005C2CBA" w:rsidRDefault="00810429" w:rsidP="00CD42D6">
            <w:pPr>
              <w:autoSpaceDE w:val="0"/>
              <w:autoSpaceDN w:val="0"/>
              <w:adjustRightInd w:val="0"/>
              <w:spacing w:before="120" w:after="120"/>
              <w:jc w:val="both"/>
              <w:rPr>
                <w:b/>
                <w:color w:val="00B0F0"/>
              </w:rPr>
            </w:pPr>
            <w:r w:rsidRPr="005C2CBA">
              <w:rPr>
                <w:b/>
                <w:color w:val="00B0F0"/>
              </w:rPr>
              <w:t xml:space="preserve">M.1.1. legalább 1 db szerződésszerűen teljesített, legalább </w:t>
            </w:r>
            <w:r w:rsidR="0022567C" w:rsidRPr="005C2CBA">
              <w:rPr>
                <w:b/>
                <w:color w:val="00B0F0"/>
              </w:rPr>
              <w:t>5</w:t>
            </w:r>
            <w:r w:rsidRPr="005C2CBA">
              <w:rPr>
                <w:b/>
                <w:color w:val="00B0F0"/>
              </w:rPr>
              <w:t>0 db. parkoló automata szállítására vonatkozó referenciával,</w:t>
            </w:r>
          </w:p>
          <w:p w14:paraId="00150624" w14:textId="2FD638AE" w:rsidR="00810429" w:rsidRPr="005C2CBA" w:rsidRDefault="00810429" w:rsidP="005C2CBA">
            <w:pPr>
              <w:autoSpaceDE w:val="0"/>
              <w:autoSpaceDN w:val="0"/>
              <w:adjustRightInd w:val="0"/>
              <w:spacing w:before="120" w:after="120"/>
              <w:jc w:val="both"/>
              <w:rPr>
                <w:b/>
                <w:color w:val="00B0F0"/>
              </w:rPr>
            </w:pPr>
            <w:r w:rsidRPr="005C2CBA">
              <w:rPr>
                <w:b/>
                <w:color w:val="00B0F0"/>
              </w:rPr>
              <w:br/>
              <w:t>M.1.2. olyan</w:t>
            </w:r>
            <w:r w:rsidR="00F643F6" w:rsidRPr="005C2CBA">
              <w:rPr>
                <w:b/>
                <w:color w:val="00B0F0"/>
              </w:rPr>
              <w:t>,</w:t>
            </w:r>
            <w:r w:rsidRPr="005C2CBA">
              <w:rPr>
                <w:b/>
                <w:color w:val="00B0F0"/>
              </w:rPr>
              <w:t xml:space="preserve"> parkolóhelyek üzemeltetésére vonatkozó referenciával, amely szerint legalább 1500 parkolóhelyet, vagy legalább </w:t>
            </w:r>
            <w:r w:rsidR="0022567C" w:rsidRPr="005C2CBA">
              <w:rPr>
                <w:b/>
                <w:color w:val="00B0F0"/>
              </w:rPr>
              <w:t>5</w:t>
            </w:r>
            <w:r w:rsidRPr="005C2CBA">
              <w:rPr>
                <w:b/>
                <w:color w:val="00B0F0"/>
              </w:rPr>
              <w:t>0 darab parkoló</w:t>
            </w:r>
            <w:r w:rsidR="00400AB9" w:rsidRPr="005C2CBA">
              <w:rPr>
                <w:b/>
                <w:color w:val="00B0F0"/>
              </w:rPr>
              <w:t xml:space="preserve"> </w:t>
            </w:r>
            <w:r w:rsidRPr="005C2CBA">
              <w:rPr>
                <w:b/>
                <w:color w:val="00B0F0"/>
              </w:rPr>
              <w:t>automatát legalább 12 hónapon át üzemeltetett</w:t>
            </w:r>
            <w:r w:rsidR="00F643F6" w:rsidRPr="005C2CBA">
              <w:rPr>
                <w:b/>
                <w:color w:val="00B0F0"/>
              </w:rPr>
              <w:t>.</w:t>
            </w:r>
          </w:p>
          <w:p w14:paraId="4199395E" w14:textId="77777777" w:rsidR="00400AB9" w:rsidRPr="005C2CBA" w:rsidRDefault="00810429" w:rsidP="00CD42D6">
            <w:pPr>
              <w:autoSpaceDE w:val="0"/>
              <w:autoSpaceDN w:val="0"/>
              <w:adjustRightInd w:val="0"/>
              <w:spacing w:before="120" w:after="120"/>
              <w:jc w:val="both"/>
              <w:rPr>
                <w:b/>
                <w:color w:val="00B0F0"/>
              </w:rPr>
            </w:pPr>
            <w:r w:rsidRPr="005C2CBA">
              <w:rPr>
                <w:b/>
                <w:color w:val="00B0F0"/>
              </w:rPr>
              <w:br/>
              <w:t>M/2. Alkalmatlan az ajánlattevő, ha nem rendelkezik legalább az alábbi szakemberekkel:</w:t>
            </w:r>
          </w:p>
          <w:p w14:paraId="2E3A9E06" w14:textId="4849498C" w:rsidR="00400AB9" w:rsidRPr="005C2CBA" w:rsidRDefault="00810429" w:rsidP="00CD42D6">
            <w:pPr>
              <w:autoSpaceDE w:val="0"/>
              <w:autoSpaceDN w:val="0"/>
              <w:adjustRightInd w:val="0"/>
              <w:spacing w:before="120" w:after="120"/>
              <w:jc w:val="both"/>
              <w:rPr>
                <w:b/>
                <w:color w:val="00B0F0"/>
              </w:rPr>
            </w:pPr>
            <w:r w:rsidRPr="005C2CBA">
              <w:rPr>
                <w:b/>
                <w:color w:val="00B0F0"/>
              </w:rPr>
              <w:br/>
              <w:t>a) legalább 1 fő parkoló automaták telepítése, üzembe helyezése, karbantartása és üzemeltetése területén projektvezetői gyakorlattal rendelkező szakember;</w:t>
            </w:r>
          </w:p>
          <w:p w14:paraId="19CD0940" w14:textId="50FCA6D1" w:rsidR="00400AB9" w:rsidRPr="005C2CBA" w:rsidRDefault="00810429" w:rsidP="00CD42D6">
            <w:pPr>
              <w:autoSpaceDE w:val="0"/>
              <w:autoSpaceDN w:val="0"/>
              <w:adjustRightInd w:val="0"/>
              <w:spacing w:before="120" w:after="120"/>
              <w:jc w:val="both"/>
              <w:rPr>
                <w:b/>
                <w:color w:val="00B0F0"/>
              </w:rPr>
            </w:pPr>
            <w:r w:rsidRPr="005C2CBA">
              <w:rPr>
                <w:b/>
                <w:color w:val="00B0F0"/>
              </w:rPr>
              <w:br/>
              <w:t>b) legalább 3 fő, parkoló automaták telepítése, üzembe helyezése területén szakmai tapasztalattal rendelkező szakemberrel;</w:t>
            </w:r>
          </w:p>
          <w:p w14:paraId="69E89126" w14:textId="07988575" w:rsidR="00400AB9" w:rsidRPr="005C2CBA" w:rsidRDefault="00810429" w:rsidP="00CD42D6">
            <w:pPr>
              <w:autoSpaceDE w:val="0"/>
              <w:autoSpaceDN w:val="0"/>
              <w:adjustRightInd w:val="0"/>
              <w:spacing w:before="120" w:after="120"/>
              <w:jc w:val="both"/>
              <w:rPr>
                <w:b/>
                <w:color w:val="00B0F0"/>
              </w:rPr>
            </w:pPr>
            <w:r w:rsidRPr="005C2CBA">
              <w:rPr>
                <w:b/>
                <w:color w:val="00B0F0"/>
              </w:rPr>
              <w:br/>
              <w:t>c) legalább 1 fő parkoló automaták és parkolási központi rendszer szoftver telepítése, üzembe helyezése területén szakmai tapasztalattal rendelkező informatikus.</w:t>
            </w:r>
          </w:p>
          <w:p w14:paraId="1A1541CA" w14:textId="014491B4" w:rsidR="00400AB9" w:rsidRPr="005C2CBA" w:rsidRDefault="00810429" w:rsidP="00CD42D6">
            <w:pPr>
              <w:autoSpaceDE w:val="0"/>
              <w:autoSpaceDN w:val="0"/>
              <w:adjustRightInd w:val="0"/>
              <w:spacing w:before="120" w:after="120"/>
              <w:jc w:val="both"/>
              <w:rPr>
                <w:b/>
                <w:color w:val="00B0F0"/>
              </w:rPr>
            </w:pPr>
            <w:r w:rsidRPr="005C2CBA">
              <w:rPr>
                <w:b/>
                <w:color w:val="00B0F0"/>
              </w:rPr>
              <w:br/>
              <w:t>d) legalább 3 fő parkoló automaták karbantartása és üzemeltetése területén 2 éves szakmai gyakorlattal rendelkező szakember.</w:t>
            </w:r>
          </w:p>
          <w:p w14:paraId="3C8993D6" w14:textId="2A559C10" w:rsidR="00400AB9" w:rsidRPr="005C2CBA" w:rsidRDefault="00810429" w:rsidP="00CD42D6">
            <w:pPr>
              <w:autoSpaceDE w:val="0"/>
              <w:autoSpaceDN w:val="0"/>
              <w:adjustRightInd w:val="0"/>
              <w:spacing w:before="120" w:after="120"/>
              <w:jc w:val="both"/>
              <w:rPr>
                <w:b/>
                <w:color w:val="00B0F0"/>
              </w:rPr>
            </w:pPr>
            <w:r w:rsidRPr="005C2CBA">
              <w:rPr>
                <w:b/>
                <w:color w:val="00B0F0"/>
              </w:rPr>
              <w:br/>
              <w:t xml:space="preserve">M/3.) Nem rendelkezik a közbeszerzés tárgya szerinti (parkoló automaták üzemeltetése) tevékenységre kiterjedő ISO 9001 vagy azzal egyenértékű, </w:t>
            </w:r>
            <w:r w:rsidR="00D217B2" w:rsidRPr="005C2CBA">
              <w:rPr>
                <w:b/>
                <w:color w:val="00B0F0"/>
              </w:rPr>
              <w:t xml:space="preserve">és ISO 27001 (vagy azzal egyenértékű) információ biztonság irányítási rendszertanúsítvánnyal, vagy </w:t>
            </w:r>
            <w:r w:rsidRPr="005C2CBA">
              <w:rPr>
                <w:b/>
                <w:color w:val="00B0F0"/>
              </w:rPr>
              <w:t xml:space="preserve">bármely nemzeti rendszerben akkreditált minőség-biztosítási </w:t>
            </w:r>
            <w:r w:rsidR="00D217B2" w:rsidRPr="005C2CBA">
              <w:rPr>
                <w:b/>
                <w:color w:val="00B0F0"/>
              </w:rPr>
              <w:t xml:space="preserve">és információ biztonság irányítási </w:t>
            </w:r>
            <w:r w:rsidRPr="005C2CBA">
              <w:rPr>
                <w:b/>
                <w:color w:val="00B0F0"/>
              </w:rPr>
              <w:t>rendszerrel, vagy a 321/2015.(X.30.)</w:t>
            </w:r>
            <w:r w:rsidR="00400AB9" w:rsidRPr="005C2CBA">
              <w:rPr>
                <w:b/>
                <w:color w:val="00B0F0"/>
              </w:rPr>
              <w:t xml:space="preserve"> </w:t>
            </w:r>
            <w:r w:rsidRPr="005C2CBA">
              <w:rPr>
                <w:b/>
                <w:color w:val="00B0F0"/>
              </w:rPr>
              <w:t>Korm.r. 24. § (3) bek. szerinti a fenti szabvány által előírtaknak mindenben megfelelő minőség-biztosítási intézkedéseinek leírásával;</w:t>
            </w:r>
          </w:p>
          <w:p w14:paraId="04F94E17" w14:textId="032EF584" w:rsidR="00400AB9" w:rsidRPr="005C2CBA" w:rsidRDefault="00810429" w:rsidP="00CD42D6">
            <w:pPr>
              <w:autoSpaceDE w:val="0"/>
              <w:autoSpaceDN w:val="0"/>
              <w:adjustRightInd w:val="0"/>
              <w:spacing w:before="120" w:after="120"/>
              <w:jc w:val="both"/>
              <w:rPr>
                <w:b/>
                <w:color w:val="00B0F0"/>
              </w:rPr>
            </w:pPr>
            <w:r w:rsidRPr="005C2CBA">
              <w:rPr>
                <w:b/>
                <w:color w:val="00B0F0"/>
              </w:rPr>
              <w:br/>
              <w:t>M/4.) Nem rendelkezik az utolsó lezárt üzleti év vonatkozásában minimum 10 fő átlagos statisztikai állományi létszámmal;</w:t>
            </w:r>
          </w:p>
          <w:p w14:paraId="6B35778F" w14:textId="77777777" w:rsidR="00400AB9" w:rsidRPr="005C2CBA" w:rsidRDefault="00810429" w:rsidP="00CD42D6">
            <w:pPr>
              <w:autoSpaceDE w:val="0"/>
              <w:autoSpaceDN w:val="0"/>
              <w:adjustRightInd w:val="0"/>
              <w:spacing w:before="120" w:after="120"/>
              <w:jc w:val="both"/>
              <w:rPr>
                <w:b/>
                <w:color w:val="00B0F0"/>
              </w:rPr>
            </w:pPr>
            <w:r w:rsidRPr="005C2CBA">
              <w:rPr>
                <w:b/>
                <w:color w:val="00B0F0"/>
              </w:rPr>
              <w:br/>
              <w:t xml:space="preserve">M/5.) </w:t>
            </w:r>
          </w:p>
          <w:p w14:paraId="7D38936B" w14:textId="77777777" w:rsidR="00400AB9" w:rsidRPr="005C2CBA" w:rsidRDefault="00810429" w:rsidP="00CD42D6">
            <w:pPr>
              <w:autoSpaceDE w:val="0"/>
              <w:autoSpaceDN w:val="0"/>
              <w:adjustRightInd w:val="0"/>
              <w:spacing w:before="120" w:after="120"/>
              <w:jc w:val="both"/>
              <w:rPr>
                <w:b/>
                <w:color w:val="00B0F0"/>
              </w:rPr>
            </w:pPr>
            <w:r w:rsidRPr="005C2CBA">
              <w:rPr>
                <w:b/>
                <w:color w:val="00B0F0"/>
              </w:rPr>
              <w:t>Nem rendelkezik legalább</w:t>
            </w:r>
          </w:p>
          <w:p w14:paraId="7E7C746A" w14:textId="77777777" w:rsidR="00400AB9" w:rsidRPr="005C2CBA" w:rsidRDefault="00810429" w:rsidP="00CD42D6">
            <w:pPr>
              <w:autoSpaceDE w:val="0"/>
              <w:autoSpaceDN w:val="0"/>
              <w:adjustRightInd w:val="0"/>
              <w:spacing w:before="120" w:after="120"/>
              <w:jc w:val="both"/>
              <w:rPr>
                <w:b/>
                <w:color w:val="00B0F0"/>
              </w:rPr>
            </w:pPr>
            <w:r w:rsidRPr="005C2CBA">
              <w:rPr>
                <w:b/>
                <w:color w:val="00B0F0"/>
              </w:rPr>
              <w:br/>
              <w:t>a) 3 db személyszállító szervizgépjárművel,</w:t>
            </w:r>
          </w:p>
          <w:p w14:paraId="078B1327" w14:textId="77777777" w:rsidR="00400AB9" w:rsidRPr="005C2CBA" w:rsidRDefault="00810429" w:rsidP="00CD42D6">
            <w:pPr>
              <w:autoSpaceDE w:val="0"/>
              <w:autoSpaceDN w:val="0"/>
              <w:adjustRightInd w:val="0"/>
              <w:spacing w:before="120" w:after="120"/>
              <w:jc w:val="both"/>
              <w:rPr>
                <w:b/>
                <w:color w:val="00B0F0"/>
              </w:rPr>
            </w:pPr>
            <w:r w:rsidRPr="005C2CBA">
              <w:rPr>
                <w:b/>
                <w:color w:val="00B0F0"/>
              </w:rPr>
              <w:br/>
              <w:t>b) 1 db nagyteljesítményű [9 címlet válogatására alkalmas, legalább 1100 érme/perc sebességű] érmeválogató és számláló berendezéssel,</w:t>
            </w:r>
          </w:p>
          <w:p w14:paraId="7D6A7064" w14:textId="3B8D789C" w:rsidR="00810429" w:rsidRPr="005C2CBA" w:rsidRDefault="00810429" w:rsidP="00CD42D6">
            <w:pPr>
              <w:autoSpaceDE w:val="0"/>
              <w:autoSpaceDN w:val="0"/>
              <w:adjustRightInd w:val="0"/>
              <w:spacing w:before="120" w:after="120"/>
              <w:jc w:val="both"/>
              <w:rPr>
                <w:b/>
                <w:color w:val="00B0F0"/>
              </w:rPr>
            </w:pPr>
            <w:r w:rsidRPr="005C2CBA">
              <w:rPr>
                <w:b/>
                <w:color w:val="00B0F0"/>
              </w:rPr>
              <w:br/>
              <w:t>c) továbbá alkalmatlan a szerződés teljesítésére az az ajánlattevő, akinek a telepítésre ajánlott parkoló automatája a műszaki leírása alapján nem felel meg a dokumentációban kiadott műszaki követelményeknek.</w:t>
            </w:r>
          </w:p>
          <w:p w14:paraId="7766B97D" w14:textId="3D58C03B" w:rsidR="00400AB9" w:rsidRPr="005C2CBA" w:rsidRDefault="00810429" w:rsidP="00CD42D6">
            <w:pPr>
              <w:autoSpaceDE w:val="0"/>
              <w:autoSpaceDN w:val="0"/>
              <w:adjustRightInd w:val="0"/>
              <w:spacing w:before="120" w:after="120"/>
              <w:jc w:val="both"/>
              <w:rPr>
                <w:b/>
                <w:color w:val="00B0F0"/>
              </w:rPr>
            </w:pPr>
            <w:r w:rsidRPr="005C2CBA">
              <w:rPr>
                <w:b/>
                <w:color w:val="00B0F0"/>
              </w:rPr>
              <w:br/>
              <w:t>A Kbt. 65. § (6) bekezdés szerint az előírt alkalmassági követelményeknek a közös ajánlattevők együttesen is megfelelhetnek.</w:t>
            </w:r>
          </w:p>
          <w:p w14:paraId="3AE6F8B5" w14:textId="77777777" w:rsidR="00810429" w:rsidRPr="005C2CBA" w:rsidRDefault="00810429" w:rsidP="00CD42D6">
            <w:pPr>
              <w:autoSpaceDE w:val="0"/>
              <w:autoSpaceDN w:val="0"/>
              <w:adjustRightInd w:val="0"/>
              <w:spacing w:before="120" w:after="120"/>
              <w:jc w:val="both"/>
              <w:rPr>
                <w:rFonts w:ascii="Calibri" w:eastAsia="MS Mincho" w:hAnsi="Calibri"/>
              </w:rPr>
            </w:pPr>
            <w:r w:rsidRPr="005C2CBA">
              <w:rPr>
                <w:b/>
                <w:color w:val="00B0F0"/>
              </w:rPr>
              <w:br/>
              <w:t>A Kbt. 65. § (7) bekezdésnek megfelelően az előírt alkalmassági követelményeknek az ajánlattevők bármelymás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r w:rsidRPr="005C2CBA">
              <w:rPr>
                <w:b/>
                <w:color w:val="00B0F0"/>
              </w:rPr>
              <w:br/>
              <w:t>A Kbt. 69. § (9) bek. alapján a 321/2015. (X. 30.) Korm. rendelet szerint előírt releváns szakmai tapasztalatot igazoló referenciákra vonatkozó követelmény teljesítésének igazolására az ajánlattevő csak akkor veheti igénybe más szervezet kapacitásait, ha az adott szervezet valósítja meg azt az szolgáltatást, amelyhez e kapacitásokra szükség van. A Kbt. 65. § (7) bekezdés szerint csatolandó kötelezettségvállalásnak ezt kell alátámasztania</w:t>
            </w:r>
            <w:r w:rsidRPr="005C2CBA">
              <w:rPr>
                <w:rFonts w:eastAsia="MS Mincho"/>
                <w:sz w:val="18"/>
                <w:szCs w:val="18"/>
              </w:rPr>
              <w:t xml:space="preserve">. </w:t>
            </w:r>
            <w:r w:rsidRPr="005C2CBA">
              <w:rPr>
                <w:rFonts w:eastAsia="MS Mincho"/>
                <w:b/>
                <w:bCs/>
                <w:sz w:val="18"/>
                <w:szCs w:val="18"/>
                <w:vertAlign w:val="superscript"/>
              </w:rPr>
              <w:t>2</w:t>
            </w:r>
          </w:p>
        </w:tc>
      </w:tr>
      <w:tr w:rsidR="00810429" w:rsidRPr="005C2CBA" w14:paraId="7757139D" w14:textId="77777777" w:rsidTr="0084156F">
        <w:trPr>
          <w:trHeight w:val="1"/>
        </w:trPr>
        <w:tc>
          <w:tcPr>
            <w:tcW w:w="9734" w:type="dxa"/>
            <w:tcBorders>
              <w:top w:val="single" w:sz="2" w:space="0" w:color="000000"/>
              <w:left w:val="single" w:sz="2" w:space="0" w:color="000000"/>
              <w:bottom w:val="single" w:sz="2" w:space="0" w:color="000000"/>
              <w:right w:val="single" w:sz="2" w:space="0" w:color="000000"/>
            </w:tcBorders>
            <w:shd w:val="clear" w:color="000000" w:fill="FFFFFF"/>
          </w:tcPr>
          <w:p w14:paraId="30A5ED35"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 xml:space="preserve">III.1.5) Fenntartott szerződésekre vonatkozó információk </w:t>
            </w:r>
            <w:r w:rsidRPr="005C2CBA">
              <w:rPr>
                <w:rFonts w:eastAsia="MS Mincho"/>
                <w:b/>
                <w:bCs/>
                <w:sz w:val="18"/>
                <w:szCs w:val="18"/>
                <w:vertAlign w:val="superscript"/>
              </w:rPr>
              <w:t>2</w:t>
            </w:r>
          </w:p>
          <w:p w14:paraId="6889D674" w14:textId="77777777" w:rsidR="00810429" w:rsidRPr="005C2CBA" w:rsidRDefault="00810429" w:rsidP="0084156F">
            <w:pPr>
              <w:autoSpaceDE w:val="0"/>
              <w:autoSpaceDN w:val="0"/>
              <w:adjustRightInd w:val="0"/>
              <w:spacing w:before="120" w:after="120"/>
              <w:ind w:left="284" w:hanging="284"/>
              <w:rPr>
                <w:rFonts w:eastAsia="MS Mincho"/>
                <w:sz w:val="18"/>
                <w:szCs w:val="18"/>
              </w:rPr>
            </w:pPr>
            <w:r w:rsidRPr="005C2CBA">
              <w:rPr>
                <w:rFonts w:eastAsia="MS Mincho"/>
                <w:sz w:val="18"/>
                <w:szCs w:val="18"/>
              </w:rPr>
              <w:t xml:space="preserve"> A szerződés védett műhelyek és olyan gazdasági szereplők számára fenntartott, amelyek célja a fogyatékkal élő vagy hátrányos helyzetű személyek társadalmi és szakmai integrációja</w:t>
            </w:r>
          </w:p>
          <w:p w14:paraId="0AF515EE"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 A szerződés teljesítése védettmunkahely-teremtési programok keretében történik</w:t>
            </w:r>
          </w:p>
        </w:tc>
      </w:tr>
    </w:tbl>
    <w:p w14:paraId="62986B2A" w14:textId="77777777" w:rsidR="00810429" w:rsidRPr="005C2CBA" w:rsidRDefault="00810429" w:rsidP="00810429">
      <w:pPr>
        <w:autoSpaceDE w:val="0"/>
        <w:autoSpaceDN w:val="0"/>
        <w:adjustRightInd w:val="0"/>
        <w:spacing w:before="120" w:after="120"/>
        <w:jc w:val="both"/>
        <w:rPr>
          <w:rFonts w:eastAsia="MS Mincho"/>
          <w:sz w:val="22"/>
          <w:szCs w:val="22"/>
        </w:rPr>
      </w:pPr>
    </w:p>
    <w:p w14:paraId="0C54114A" w14:textId="77777777" w:rsidR="00810429" w:rsidRPr="005C2CBA" w:rsidRDefault="00810429" w:rsidP="00810429">
      <w:pPr>
        <w:autoSpaceDE w:val="0"/>
        <w:autoSpaceDN w:val="0"/>
        <w:adjustRightInd w:val="0"/>
        <w:spacing w:before="120" w:after="120"/>
        <w:jc w:val="both"/>
        <w:rPr>
          <w:rFonts w:eastAsia="MS Mincho"/>
          <w:b/>
          <w:bCs/>
        </w:rPr>
      </w:pPr>
      <w:r w:rsidRPr="005C2CBA">
        <w:rPr>
          <w:rFonts w:eastAsia="MS Mincho"/>
          <w:b/>
          <w:bCs/>
        </w:rPr>
        <w:t xml:space="preserve">III.2) A szerződéssel kapcsolatos feltételek </w:t>
      </w:r>
      <w:r w:rsidRPr="005C2CBA">
        <w:rPr>
          <w:rFonts w:eastAsia="MS Mincho"/>
          <w:b/>
          <w:bCs/>
          <w:sz w:val="18"/>
          <w:szCs w:val="18"/>
          <w:vertAlign w:val="superscript"/>
        </w:rPr>
        <w:t>2</w:t>
      </w:r>
    </w:p>
    <w:tbl>
      <w:tblPr>
        <w:tblW w:w="0" w:type="auto"/>
        <w:tblInd w:w="2" w:type="dxa"/>
        <w:tblLayout w:type="fixed"/>
        <w:tblLook w:val="0000" w:firstRow="0" w:lastRow="0" w:firstColumn="0" w:lastColumn="0" w:noHBand="0" w:noVBand="0"/>
      </w:tblPr>
      <w:tblGrid>
        <w:gridCol w:w="9626"/>
      </w:tblGrid>
      <w:tr w:rsidR="00810429" w:rsidRPr="005C2CBA" w14:paraId="74C5C70C"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1027EDFF" w14:textId="77777777" w:rsidR="00810429" w:rsidRPr="005C2CBA" w:rsidRDefault="00810429" w:rsidP="0084156F">
            <w:pPr>
              <w:autoSpaceDE w:val="0"/>
              <w:autoSpaceDN w:val="0"/>
              <w:adjustRightInd w:val="0"/>
              <w:spacing w:before="120" w:after="120"/>
              <w:rPr>
                <w:rFonts w:eastAsia="MS Mincho"/>
                <w:i/>
                <w:iCs/>
                <w:sz w:val="18"/>
                <w:szCs w:val="18"/>
              </w:rPr>
            </w:pPr>
            <w:r w:rsidRPr="005C2CBA">
              <w:rPr>
                <w:rFonts w:eastAsia="MS Mincho"/>
                <w:b/>
                <w:bCs/>
                <w:sz w:val="18"/>
                <w:szCs w:val="18"/>
              </w:rPr>
              <w:t>III.2.1) Meghatározott szakmára (képzettségre) vonatkozó információk</w:t>
            </w:r>
            <w:r w:rsidRPr="005C2CBA">
              <w:rPr>
                <w:rFonts w:eastAsia="MS Mincho"/>
                <w:sz w:val="18"/>
                <w:szCs w:val="18"/>
              </w:rPr>
              <w:t xml:space="preserve"> </w:t>
            </w:r>
            <w:r w:rsidRPr="005C2CBA">
              <w:rPr>
                <w:rFonts w:eastAsia="MS Mincho"/>
                <w:i/>
                <w:iCs/>
                <w:sz w:val="18"/>
                <w:szCs w:val="18"/>
              </w:rPr>
              <w:t>(csak szolgáltatási szerződések esetében)</w:t>
            </w:r>
          </w:p>
          <w:p w14:paraId="66E20642"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 szolgáltatás teljesítése egy meghatározott szakmához (képzettséghez) van kötve</w:t>
            </w:r>
          </w:p>
          <w:p w14:paraId="0816FBC7" w14:textId="77777777" w:rsidR="00810429" w:rsidRPr="005C2CBA" w:rsidRDefault="00810429" w:rsidP="0084156F">
            <w:pPr>
              <w:autoSpaceDE w:val="0"/>
              <w:autoSpaceDN w:val="0"/>
              <w:adjustRightInd w:val="0"/>
              <w:spacing w:before="120" w:after="120"/>
              <w:ind w:left="284"/>
              <w:rPr>
                <w:rFonts w:ascii="Calibri" w:eastAsia="MS Mincho" w:hAnsi="Calibri"/>
              </w:rPr>
            </w:pPr>
            <w:r w:rsidRPr="005C2CBA">
              <w:rPr>
                <w:rFonts w:eastAsia="MS Mincho"/>
                <w:sz w:val="18"/>
                <w:szCs w:val="18"/>
              </w:rPr>
              <w:t>A vonatkozó törvényi, rendeleti vagy közigazgatási rendelkezésre történő hivatkozás:</w:t>
            </w:r>
          </w:p>
        </w:tc>
      </w:tr>
      <w:tr w:rsidR="00810429" w:rsidRPr="005C2CBA" w14:paraId="58A0BC87"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62721BAE"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III.2.2) A szerződés teljesítésével kapcsolatos feltételek:</w:t>
            </w:r>
          </w:p>
          <w:p w14:paraId="4E9CDA05" w14:textId="77777777" w:rsidR="00810429" w:rsidRPr="005C2CBA" w:rsidRDefault="00810429" w:rsidP="0084156F">
            <w:pPr>
              <w:autoSpaceDE w:val="0"/>
              <w:autoSpaceDN w:val="0"/>
              <w:adjustRightInd w:val="0"/>
              <w:spacing w:before="120" w:after="120"/>
              <w:jc w:val="both"/>
              <w:rPr>
                <w:b/>
                <w:color w:val="00B0F0"/>
              </w:rPr>
            </w:pPr>
            <w:r w:rsidRPr="005C2CBA">
              <w:rPr>
                <w:b/>
                <w:color w:val="00B0F0"/>
              </w:rPr>
              <w:t>A fizetés a Kbt. 135. § (1),(5),(6) bekezdéseiben; a Ptk. 6:130 § (1)-(2) bekezdéseiben és az ajánlattételi dokumentáció részét képező szerződéstervezetben részletezetteknek megfelelően, havonta, utólag 30 napos fizetési határidővel történik.</w:t>
            </w:r>
          </w:p>
          <w:p w14:paraId="7264DCA9" w14:textId="10D373D3" w:rsidR="00810429" w:rsidRPr="005C2CBA" w:rsidRDefault="00810429" w:rsidP="0084156F">
            <w:pPr>
              <w:autoSpaceDE w:val="0"/>
              <w:autoSpaceDN w:val="0"/>
              <w:adjustRightInd w:val="0"/>
              <w:spacing w:before="120" w:after="120"/>
              <w:jc w:val="both"/>
              <w:rPr>
                <w:b/>
                <w:color w:val="00B0F0"/>
              </w:rPr>
            </w:pPr>
            <w:r w:rsidRPr="005C2CBA">
              <w:rPr>
                <w:b/>
                <w:color w:val="00B0F0"/>
              </w:rPr>
              <w:t>Az ajánlatkérő előleget nem fizet, a leszállított parkoló automaták vételárát a sikeres átadás-átvételt követően egyösszegben fizeti meg a nyertes ajánlattevő részére. Ajánlatkérő üzemeltetési időszak alatt az üzemeltetési díjat havonta fizeti meg.</w:t>
            </w:r>
          </w:p>
          <w:p w14:paraId="22724059" w14:textId="77777777" w:rsidR="00810429" w:rsidRPr="005C2CBA" w:rsidRDefault="00810429" w:rsidP="0084156F">
            <w:pPr>
              <w:autoSpaceDE w:val="0"/>
              <w:autoSpaceDN w:val="0"/>
              <w:adjustRightInd w:val="0"/>
              <w:spacing w:before="120" w:after="120"/>
              <w:jc w:val="both"/>
              <w:rPr>
                <w:b/>
                <w:color w:val="00B0F0"/>
              </w:rPr>
            </w:pPr>
            <w:r w:rsidRPr="005C2CBA">
              <w:rPr>
                <w:b/>
                <w:color w:val="00B0F0"/>
              </w:rPr>
              <w:t>Az ajánlattétel, a szerződés és számlázás, valamint a kifizetés devizaneme a magyar forint (HUF).</w:t>
            </w:r>
          </w:p>
          <w:p w14:paraId="141B610A"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Jótállási idő: 24 hónap.</w:t>
            </w:r>
          </w:p>
          <w:p w14:paraId="796673C7"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Késedelmi kötbér: 1 %/nap, Hibás teljesítési kötbér: napi 1 %.</w:t>
            </w:r>
          </w:p>
          <w:p w14:paraId="6A748D81"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Meghiúsulási kötbér: a nettó vételár 25 %-a.</w:t>
            </w:r>
          </w:p>
          <w:p w14:paraId="14658394"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Az üzemeltetési időszakra vonatkozó rendelkezésre állási (SLA) követelmények részletes feltételeit, és az</w:t>
            </w:r>
            <w:r w:rsidR="00905DA7" w:rsidRPr="005C2CBA">
              <w:rPr>
                <w:b/>
                <w:color w:val="00B0F0"/>
              </w:rPr>
              <w:t xml:space="preserve"> </w:t>
            </w:r>
            <w:r w:rsidRPr="005C2CBA">
              <w:rPr>
                <w:b/>
                <w:color w:val="00B0F0"/>
              </w:rPr>
              <w:t>ezekhez rendelt kötbért, a szerződéstervezet tartalmazza. Teljesítési biztosíték a szállítás és üzembe helyezésvonatkozásában: a nettó vételár 5 %-a.</w:t>
            </w:r>
          </w:p>
          <w:p w14:paraId="157585F5" w14:textId="77777777" w:rsidR="004A647B" w:rsidRPr="005C2CBA" w:rsidRDefault="004A647B" w:rsidP="0084156F">
            <w:pPr>
              <w:autoSpaceDE w:val="0"/>
              <w:autoSpaceDN w:val="0"/>
              <w:adjustRightInd w:val="0"/>
              <w:spacing w:before="120" w:after="120"/>
              <w:jc w:val="both"/>
              <w:rPr>
                <w:rFonts w:ascii="Calibri" w:eastAsia="MS Mincho" w:hAnsi="Calibri"/>
              </w:rPr>
            </w:pPr>
          </w:p>
        </w:tc>
      </w:tr>
      <w:tr w:rsidR="00810429" w:rsidRPr="005C2CBA" w14:paraId="1C565FD8"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296D6D8C" w14:textId="77777777" w:rsidR="00810429" w:rsidRPr="005C2CBA" w:rsidRDefault="00810429" w:rsidP="0084156F">
            <w:pPr>
              <w:autoSpaceDE w:val="0"/>
              <w:autoSpaceDN w:val="0"/>
              <w:adjustRightInd w:val="0"/>
              <w:spacing w:before="120" w:after="120"/>
              <w:jc w:val="both"/>
              <w:rPr>
                <w:rFonts w:eastAsia="MS Mincho"/>
                <w:b/>
                <w:bCs/>
                <w:sz w:val="18"/>
                <w:szCs w:val="18"/>
              </w:rPr>
            </w:pPr>
            <w:r w:rsidRPr="005C2CBA">
              <w:rPr>
                <w:rFonts w:eastAsia="MS Mincho"/>
                <w:b/>
                <w:bCs/>
                <w:sz w:val="18"/>
                <w:szCs w:val="18"/>
              </w:rPr>
              <w:t>III.2.3) A szerződés teljesítésében közreműködő személyekkel kapcsolatos információ</w:t>
            </w:r>
          </w:p>
          <w:p w14:paraId="661059EA"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 Az ajánlattevőknek közölniük kell a szerződés teljesítésében közreműködő személyek nevét és szakképzettségét</w:t>
            </w:r>
          </w:p>
        </w:tc>
      </w:tr>
    </w:tbl>
    <w:p w14:paraId="38A7A248" w14:textId="77777777" w:rsidR="00810429" w:rsidRPr="005C2CBA" w:rsidRDefault="00810429" w:rsidP="00810429">
      <w:pPr>
        <w:autoSpaceDE w:val="0"/>
        <w:autoSpaceDN w:val="0"/>
        <w:adjustRightInd w:val="0"/>
        <w:spacing w:before="120" w:after="120"/>
        <w:jc w:val="both"/>
        <w:rPr>
          <w:rFonts w:eastAsia="MS Mincho"/>
          <w:sz w:val="22"/>
          <w:szCs w:val="22"/>
        </w:rPr>
      </w:pPr>
    </w:p>
    <w:p w14:paraId="12098292" w14:textId="77777777" w:rsidR="00810429" w:rsidRPr="005C2CBA" w:rsidRDefault="00810429" w:rsidP="00810429">
      <w:pPr>
        <w:autoSpaceDE w:val="0"/>
        <w:autoSpaceDN w:val="0"/>
        <w:adjustRightInd w:val="0"/>
        <w:spacing w:before="120" w:after="120"/>
        <w:rPr>
          <w:rFonts w:eastAsia="MS Mincho"/>
          <w:b/>
          <w:bCs/>
          <w:sz w:val="28"/>
          <w:szCs w:val="28"/>
        </w:rPr>
      </w:pPr>
      <w:r w:rsidRPr="005C2CBA">
        <w:rPr>
          <w:rFonts w:eastAsia="MS Mincho"/>
          <w:b/>
          <w:bCs/>
          <w:sz w:val="28"/>
          <w:szCs w:val="28"/>
        </w:rPr>
        <w:t>IV. szakasz: Eljárás</w:t>
      </w:r>
    </w:p>
    <w:p w14:paraId="11E2C96C" w14:textId="77777777" w:rsidR="00810429" w:rsidRPr="005C2CBA" w:rsidRDefault="00810429" w:rsidP="00810429">
      <w:pPr>
        <w:autoSpaceDE w:val="0"/>
        <w:autoSpaceDN w:val="0"/>
        <w:adjustRightInd w:val="0"/>
        <w:spacing w:before="120" w:after="120"/>
        <w:jc w:val="both"/>
        <w:rPr>
          <w:rFonts w:eastAsia="MS Mincho"/>
          <w:sz w:val="22"/>
          <w:szCs w:val="22"/>
        </w:rPr>
      </w:pPr>
    </w:p>
    <w:p w14:paraId="4455F86B"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IV.1) Meghatározás</w:t>
      </w:r>
    </w:p>
    <w:tbl>
      <w:tblPr>
        <w:tblW w:w="0" w:type="auto"/>
        <w:tblInd w:w="2" w:type="dxa"/>
        <w:tblLayout w:type="fixed"/>
        <w:tblLook w:val="0000" w:firstRow="0" w:lastRow="0" w:firstColumn="0" w:lastColumn="0" w:noHBand="0" w:noVBand="0"/>
      </w:tblPr>
      <w:tblGrid>
        <w:gridCol w:w="9626"/>
      </w:tblGrid>
      <w:tr w:rsidR="00810429" w:rsidRPr="005C2CBA" w14:paraId="2CCCE115"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312805F3"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IV.1.1) Az eljárás fajtája</w:t>
            </w:r>
          </w:p>
          <w:p w14:paraId="67791663" w14:textId="1B0F17B5"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Nyílt eljárás</w:t>
            </w:r>
          </w:p>
          <w:p w14:paraId="2B5CCF60"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eastAsia="MS Mincho"/>
                <w:sz w:val="18"/>
                <w:szCs w:val="18"/>
              </w:rPr>
              <w:t xml:space="preserve"> Gyorsított eljárás</w:t>
            </w:r>
          </w:p>
          <w:p w14:paraId="228C4F92" w14:textId="77777777" w:rsidR="00810429" w:rsidRPr="005C2CBA" w:rsidRDefault="00810429" w:rsidP="0084156F">
            <w:pPr>
              <w:autoSpaceDE w:val="0"/>
              <w:autoSpaceDN w:val="0"/>
              <w:adjustRightInd w:val="0"/>
              <w:spacing w:before="120" w:after="120"/>
              <w:ind w:left="567"/>
              <w:rPr>
                <w:rFonts w:eastAsia="MS Mincho"/>
                <w:sz w:val="18"/>
                <w:szCs w:val="18"/>
              </w:rPr>
            </w:pPr>
            <w:r w:rsidRPr="005C2CBA">
              <w:rPr>
                <w:rFonts w:eastAsia="MS Mincho"/>
                <w:sz w:val="18"/>
                <w:szCs w:val="18"/>
              </w:rPr>
              <w:t>Indokolás:</w:t>
            </w:r>
          </w:p>
          <w:p w14:paraId="7BD568A1"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Meghívásos eljárás</w:t>
            </w:r>
          </w:p>
          <w:p w14:paraId="451BEB77"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eastAsia="MS Mincho"/>
                <w:sz w:val="18"/>
                <w:szCs w:val="18"/>
              </w:rPr>
              <w:t xml:space="preserve"> Gyorsított eljárás</w:t>
            </w:r>
          </w:p>
          <w:p w14:paraId="5B24FB30" w14:textId="77777777" w:rsidR="00810429" w:rsidRPr="005C2CBA" w:rsidRDefault="00810429" w:rsidP="0084156F">
            <w:pPr>
              <w:autoSpaceDE w:val="0"/>
              <w:autoSpaceDN w:val="0"/>
              <w:adjustRightInd w:val="0"/>
              <w:spacing w:before="120" w:after="120"/>
              <w:ind w:left="567"/>
              <w:rPr>
                <w:rFonts w:eastAsia="MS Mincho"/>
                <w:sz w:val="18"/>
                <w:szCs w:val="18"/>
              </w:rPr>
            </w:pPr>
            <w:r w:rsidRPr="005C2CBA">
              <w:rPr>
                <w:rFonts w:eastAsia="MS Mincho"/>
                <w:sz w:val="18"/>
                <w:szCs w:val="18"/>
              </w:rPr>
              <w:t>Indokolás:</w:t>
            </w:r>
          </w:p>
          <w:p w14:paraId="34C53ACD" w14:textId="77777777" w:rsidR="00810429" w:rsidRPr="005C2CBA" w:rsidRDefault="00400AB9" w:rsidP="0084156F">
            <w:pPr>
              <w:autoSpaceDE w:val="0"/>
              <w:autoSpaceDN w:val="0"/>
              <w:adjustRightInd w:val="0"/>
              <w:spacing w:before="120" w:after="120"/>
              <w:rPr>
                <w:b/>
                <w:color w:val="00B0F0"/>
              </w:rPr>
            </w:pPr>
            <w:r w:rsidRPr="005C2CBA">
              <w:rPr>
                <w:rFonts w:ascii="MS Mincho" w:hAnsi="MS Mincho" w:cs="MS Mincho"/>
                <w:b/>
                <w:color w:val="00B0F0"/>
              </w:rPr>
              <w:t>X</w:t>
            </w:r>
            <w:r w:rsidR="00810429" w:rsidRPr="005C2CBA">
              <w:rPr>
                <w:b/>
                <w:color w:val="00B0F0"/>
              </w:rPr>
              <w:t xml:space="preserve"> Tárgyalásos eljárás</w:t>
            </w:r>
          </w:p>
          <w:p w14:paraId="0D6DA690"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eastAsia="MS Mincho"/>
                <w:sz w:val="18"/>
                <w:szCs w:val="18"/>
              </w:rPr>
              <w:t xml:space="preserve"> Gyorsított eljárás</w:t>
            </w:r>
          </w:p>
          <w:p w14:paraId="429B9EDB" w14:textId="77777777" w:rsidR="00810429" w:rsidRPr="005C2CBA" w:rsidRDefault="00810429" w:rsidP="0084156F">
            <w:pPr>
              <w:autoSpaceDE w:val="0"/>
              <w:autoSpaceDN w:val="0"/>
              <w:adjustRightInd w:val="0"/>
              <w:spacing w:before="120" w:after="120"/>
              <w:ind w:left="567"/>
              <w:rPr>
                <w:rFonts w:eastAsia="MS Mincho"/>
                <w:sz w:val="18"/>
                <w:szCs w:val="18"/>
              </w:rPr>
            </w:pPr>
            <w:r w:rsidRPr="005C2CBA">
              <w:rPr>
                <w:rFonts w:eastAsia="MS Mincho"/>
                <w:sz w:val="18"/>
                <w:szCs w:val="18"/>
              </w:rPr>
              <w:t>Indokolás:</w:t>
            </w:r>
          </w:p>
          <w:p w14:paraId="672A0867"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Versenypárbeszéd</w:t>
            </w:r>
          </w:p>
          <w:p w14:paraId="5291573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ascii="MS Mincho" w:eastAsia="MS Mincho" w:cs="MS Mincho"/>
                <w:sz w:val="18"/>
                <w:szCs w:val="18"/>
              </w:rPr>
              <w:t>◯</w:t>
            </w:r>
            <w:r w:rsidRPr="005C2CBA">
              <w:rPr>
                <w:rFonts w:eastAsia="MS Mincho"/>
                <w:sz w:val="18"/>
                <w:szCs w:val="18"/>
              </w:rPr>
              <w:t xml:space="preserve"> Innovációs partnerség</w:t>
            </w:r>
          </w:p>
        </w:tc>
      </w:tr>
      <w:tr w:rsidR="00810429" w:rsidRPr="005C2CBA" w14:paraId="1BD36B06"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4AE3AA43"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IV.1.3) Keretmegállapodásra vagy dinamikus beszerzési rendszerre vonatkozó információk</w:t>
            </w:r>
          </w:p>
          <w:p w14:paraId="1B0798B2"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 hirdetmény keretmegállapodás megkötésére irányul</w:t>
            </w:r>
          </w:p>
          <w:p w14:paraId="0D799BAA"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Keretmegállapodás egy ajánlattevővel</w:t>
            </w:r>
          </w:p>
          <w:p w14:paraId="0D5588AD"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ascii="MS Mincho" w:eastAsia="MS Mincho" w:cs="MS Mincho"/>
                <w:sz w:val="18"/>
                <w:szCs w:val="18"/>
              </w:rPr>
              <w:t>◯</w:t>
            </w:r>
            <w:r w:rsidRPr="005C2CBA">
              <w:rPr>
                <w:rFonts w:eastAsia="MS Mincho"/>
                <w:sz w:val="18"/>
                <w:szCs w:val="18"/>
              </w:rPr>
              <w:t xml:space="preserve"> Keretmegállapodás több ajánlattevővel</w:t>
            </w:r>
          </w:p>
          <w:p w14:paraId="25690601" w14:textId="77777777" w:rsidR="00810429" w:rsidRPr="005C2CBA" w:rsidRDefault="00810429" w:rsidP="0084156F">
            <w:pPr>
              <w:autoSpaceDE w:val="0"/>
              <w:autoSpaceDN w:val="0"/>
              <w:adjustRightInd w:val="0"/>
              <w:spacing w:before="120" w:after="120"/>
              <w:ind w:left="426"/>
              <w:rPr>
                <w:rFonts w:eastAsia="MS Mincho"/>
                <w:sz w:val="18"/>
                <w:szCs w:val="18"/>
              </w:rPr>
            </w:pPr>
            <w:r w:rsidRPr="005C2CBA">
              <w:rPr>
                <w:rFonts w:eastAsia="MS Mincho"/>
                <w:sz w:val="18"/>
                <w:szCs w:val="18"/>
              </w:rPr>
              <w:t xml:space="preserve">A keretmegállapodás résztvevőinek tervezett maximális létszáma: </w:t>
            </w:r>
            <w:r w:rsidRPr="005C2CBA">
              <w:rPr>
                <w:rFonts w:eastAsia="MS Mincho"/>
                <w:b/>
                <w:bCs/>
                <w:sz w:val="18"/>
                <w:szCs w:val="18"/>
                <w:vertAlign w:val="superscript"/>
              </w:rPr>
              <w:t>2</w:t>
            </w:r>
            <w:r w:rsidRPr="005C2CBA">
              <w:rPr>
                <w:rFonts w:eastAsia="MS Mincho"/>
                <w:sz w:val="18"/>
                <w:szCs w:val="18"/>
              </w:rPr>
              <w:t xml:space="preserve"> [   ]</w:t>
            </w:r>
          </w:p>
          <w:p w14:paraId="49180DD5"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 hirdetmény dinamikus beszerzési rendszer létrehozására irányul</w:t>
            </w:r>
          </w:p>
          <w:p w14:paraId="3AD78A6F" w14:textId="77777777" w:rsidR="00810429" w:rsidRPr="005C2CBA" w:rsidRDefault="00810429" w:rsidP="0084156F">
            <w:pPr>
              <w:autoSpaceDE w:val="0"/>
              <w:autoSpaceDN w:val="0"/>
              <w:adjustRightInd w:val="0"/>
              <w:spacing w:before="120" w:after="120"/>
              <w:ind w:left="284"/>
              <w:rPr>
                <w:rFonts w:eastAsia="MS Mincho"/>
                <w:sz w:val="18"/>
                <w:szCs w:val="18"/>
              </w:rPr>
            </w:pPr>
            <w:r w:rsidRPr="005C2CBA">
              <w:rPr>
                <w:rFonts w:eastAsia="MS Mincho"/>
                <w:sz w:val="18"/>
                <w:szCs w:val="18"/>
              </w:rPr>
              <w:t xml:space="preserve"> A dinamikus beszerzési rendszert további beszerzők is alkalmazhatják</w:t>
            </w:r>
          </w:p>
          <w:p w14:paraId="79E686E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Keretmegállapodás esetében – a négy évet meghaladó időtartam indoklása:</w:t>
            </w:r>
          </w:p>
        </w:tc>
      </w:tr>
      <w:tr w:rsidR="00810429" w:rsidRPr="005C2CBA" w14:paraId="32B98899"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18BD83BF" w14:textId="77777777" w:rsidR="00810429" w:rsidRPr="005C2CBA" w:rsidRDefault="00810429" w:rsidP="0084156F">
            <w:pPr>
              <w:autoSpaceDE w:val="0"/>
              <w:autoSpaceDN w:val="0"/>
              <w:adjustRightInd w:val="0"/>
              <w:spacing w:before="120" w:after="120" w:line="194" w:lineRule="atLeast"/>
              <w:rPr>
                <w:rFonts w:eastAsia="MS Mincho"/>
                <w:b/>
                <w:bCs/>
                <w:sz w:val="18"/>
                <w:szCs w:val="18"/>
              </w:rPr>
            </w:pPr>
            <w:r w:rsidRPr="005C2CBA">
              <w:rPr>
                <w:rFonts w:eastAsia="MS Mincho"/>
                <w:b/>
                <w:bCs/>
                <w:sz w:val="18"/>
                <w:szCs w:val="18"/>
              </w:rPr>
              <w:t>IV.1.4) A megoldások, illetve ajánlatok számának a tárgyalásos eljárás vagy a versenypárbeszéd során történő csökkentésére irányuló információ</w:t>
            </w:r>
          </w:p>
          <w:p w14:paraId="39740390"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 Igénybe vettek többfordulós eljárást annak érdekében, hogy fokozatosan csökkentsék a megvitatandó megoldások, illetve a megtárgyalandó ajánlatok számát</w:t>
            </w:r>
          </w:p>
        </w:tc>
      </w:tr>
      <w:tr w:rsidR="00810429" w:rsidRPr="005C2CBA" w14:paraId="6EAEB6B0"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12BA34E5" w14:textId="77777777" w:rsidR="00810429" w:rsidRPr="005C2CBA" w:rsidRDefault="00810429" w:rsidP="0084156F">
            <w:pPr>
              <w:autoSpaceDE w:val="0"/>
              <w:autoSpaceDN w:val="0"/>
              <w:adjustRightInd w:val="0"/>
              <w:spacing w:before="120" w:after="120" w:line="140" w:lineRule="atLeast"/>
              <w:jc w:val="both"/>
              <w:rPr>
                <w:rFonts w:eastAsia="MS Mincho"/>
                <w:sz w:val="18"/>
                <w:szCs w:val="18"/>
              </w:rPr>
            </w:pPr>
            <w:r w:rsidRPr="005C2CBA">
              <w:rPr>
                <w:rFonts w:eastAsia="MS Mincho"/>
                <w:b/>
                <w:bCs/>
                <w:sz w:val="18"/>
                <w:szCs w:val="18"/>
              </w:rPr>
              <w:t>IV.1.5) Információ a tárgyalásról</w:t>
            </w:r>
            <w:r w:rsidRPr="005C2CBA">
              <w:rPr>
                <w:rFonts w:ascii="Lucida Sans Unicode" w:eastAsia="MS Mincho" w:hAnsi="Lucida Sans Unicode" w:cs="Lucida Sans Unicode"/>
                <w:b/>
                <w:bCs/>
                <w:i/>
                <w:iCs/>
                <w:color w:val="000000"/>
                <w:sz w:val="14"/>
                <w:szCs w:val="14"/>
              </w:rPr>
              <w:t xml:space="preserve"> </w:t>
            </w:r>
            <w:r w:rsidRPr="005C2CBA">
              <w:rPr>
                <w:rFonts w:eastAsia="MS Mincho"/>
                <w:i/>
                <w:iCs/>
                <w:sz w:val="18"/>
                <w:szCs w:val="18"/>
              </w:rPr>
              <w:t>(kizárólag tárgyalásos eljárás esetében)</w:t>
            </w:r>
          </w:p>
          <w:p w14:paraId="0C8BEA7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Az ajánlatkérő fenntartja a jogot arra, hogy a szerződést az eredeti ajánlat alapján, tárgyalások lefolytatása nélkül ítélje oda.</w:t>
            </w:r>
          </w:p>
        </w:tc>
      </w:tr>
      <w:tr w:rsidR="00810429" w:rsidRPr="005C2CBA" w14:paraId="00D69EF6"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3FA36783"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 xml:space="preserve">IV.1.6) Elektronikus árlejtésre vonatkozó információk </w:t>
            </w:r>
          </w:p>
          <w:p w14:paraId="7AC6E3E1"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Elektronikus árlejtést fognak alkalmazni</w:t>
            </w:r>
          </w:p>
          <w:p w14:paraId="3B21200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További információk az elektronikus árlejtésről:</w:t>
            </w:r>
          </w:p>
        </w:tc>
      </w:tr>
      <w:tr w:rsidR="00810429" w:rsidRPr="005C2CBA" w14:paraId="07E7397D"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449D04DB"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IV.1.8) A közbeszerzési megállapodásra (GPA) vonatkozó információk</w:t>
            </w:r>
          </w:p>
          <w:p w14:paraId="56D015F5"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A szerződés a közbeszerzési megállapodás (GPA) hatálya alá tartozik </w:t>
            </w:r>
            <w:r w:rsidRPr="005C2CBA">
              <w:rPr>
                <w:rFonts w:ascii="MS Mincho" w:eastAsia="MS Mincho" w:cs="MS Mincho"/>
                <w:sz w:val="18"/>
                <w:szCs w:val="18"/>
              </w:rPr>
              <w:t>x</w:t>
            </w:r>
            <w:r w:rsidRPr="005C2CBA">
              <w:rPr>
                <w:rFonts w:eastAsia="MS Mincho"/>
                <w:sz w:val="18"/>
                <w:szCs w:val="18"/>
              </w:rPr>
              <w:t xml:space="preserve"> igen </w:t>
            </w:r>
            <w:r w:rsidRPr="005C2CBA">
              <w:rPr>
                <w:rFonts w:ascii="MS Mincho" w:eastAsia="MS Mincho" w:cs="MS Mincho"/>
                <w:sz w:val="18"/>
                <w:szCs w:val="18"/>
              </w:rPr>
              <w:t>◯</w:t>
            </w:r>
            <w:r w:rsidRPr="005C2CBA">
              <w:rPr>
                <w:rFonts w:eastAsia="MS Mincho"/>
                <w:sz w:val="18"/>
                <w:szCs w:val="18"/>
              </w:rPr>
              <w:t xml:space="preserve"> nem</w:t>
            </w:r>
          </w:p>
        </w:tc>
      </w:tr>
    </w:tbl>
    <w:p w14:paraId="4C952FF3" w14:textId="77777777" w:rsidR="00810429" w:rsidRPr="005C2CBA" w:rsidRDefault="00810429" w:rsidP="00810429">
      <w:pPr>
        <w:autoSpaceDE w:val="0"/>
        <w:autoSpaceDN w:val="0"/>
        <w:adjustRightInd w:val="0"/>
        <w:spacing w:before="120" w:after="120"/>
        <w:jc w:val="both"/>
        <w:rPr>
          <w:rFonts w:eastAsia="MS Mincho"/>
          <w:sz w:val="22"/>
          <w:szCs w:val="22"/>
        </w:rPr>
      </w:pPr>
    </w:p>
    <w:p w14:paraId="125D5851" w14:textId="77777777" w:rsidR="00810429" w:rsidRPr="005C2CBA" w:rsidRDefault="00810429" w:rsidP="00810429">
      <w:pPr>
        <w:autoSpaceDE w:val="0"/>
        <w:autoSpaceDN w:val="0"/>
        <w:adjustRightInd w:val="0"/>
        <w:spacing w:before="120" w:after="120"/>
        <w:jc w:val="both"/>
        <w:rPr>
          <w:rFonts w:eastAsia="MS Mincho"/>
          <w:b/>
          <w:bCs/>
          <w:sz w:val="22"/>
          <w:szCs w:val="22"/>
        </w:rPr>
      </w:pPr>
      <w:r w:rsidRPr="005C2CBA">
        <w:rPr>
          <w:rFonts w:eastAsia="MS Mincho"/>
          <w:b/>
          <w:bCs/>
          <w:sz w:val="22"/>
          <w:szCs w:val="22"/>
        </w:rPr>
        <w:t>IV.2) Adminisztratív információk</w:t>
      </w:r>
    </w:p>
    <w:tbl>
      <w:tblPr>
        <w:tblW w:w="0" w:type="auto"/>
        <w:tblInd w:w="2" w:type="dxa"/>
        <w:tblLayout w:type="fixed"/>
        <w:tblLook w:val="0000" w:firstRow="0" w:lastRow="0" w:firstColumn="0" w:lastColumn="0" w:noHBand="0" w:noVBand="0"/>
      </w:tblPr>
      <w:tblGrid>
        <w:gridCol w:w="9626"/>
      </w:tblGrid>
      <w:tr w:rsidR="00810429" w:rsidRPr="005C2CBA" w14:paraId="5962F618"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2211E981"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 xml:space="preserve">IV.2.1) Az adott eljárásra vonatkozó korábbi közzététel </w:t>
            </w:r>
            <w:r w:rsidRPr="005C2CBA">
              <w:rPr>
                <w:rFonts w:eastAsia="MS Mincho"/>
                <w:b/>
                <w:bCs/>
                <w:sz w:val="18"/>
                <w:szCs w:val="18"/>
                <w:vertAlign w:val="superscript"/>
              </w:rPr>
              <w:t>2</w:t>
            </w:r>
          </w:p>
          <w:p w14:paraId="2437B7AE"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A hirdetmény száma a Hivatalos Lapban: [ ][ ][ ][ ]/S [ ][ ][ ]-[ ][ ][ ][ ][ ][ ][ ]</w:t>
            </w:r>
          </w:p>
          <w:p w14:paraId="088E626F"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i/>
                <w:iCs/>
                <w:sz w:val="18"/>
                <w:szCs w:val="18"/>
              </w:rPr>
              <w:t>(Az alábbiak közül: Előzetes tájékoztató; Felhasználói oldalon közzétett hirdetmény)</w:t>
            </w:r>
          </w:p>
        </w:tc>
      </w:tr>
      <w:tr w:rsidR="00810429" w:rsidRPr="005C2CBA" w14:paraId="377563A3"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4487D248"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IV.2.2) Ajánlatok vagy részvételi kérelmek benyújtásának határideje</w:t>
            </w:r>
          </w:p>
          <w:p w14:paraId="299AECA6" w14:textId="77777777" w:rsidR="00810429" w:rsidRPr="005C2CBA" w:rsidRDefault="00810429" w:rsidP="0084156F">
            <w:pPr>
              <w:autoSpaceDE w:val="0"/>
              <w:autoSpaceDN w:val="0"/>
              <w:adjustRightInd w:val="0"/>
              <w:spacing w:before="120" w:after="120"/>
              <w:jc w:val="both"/>
              <w:rPr>
                <w:rFonts w:ascii="Calibri" w:eastAsia="MS Mincho" w:hAnsi="Calibri"/>
              </w:rPr>
            </w:pPr>
            <w:r w:rsidRPr="005C2CBA">
              <w:rPr>
                <w:rFonts w:eastAsia="MS Mincho"/>
                <w:sz w:val="18"/>
                <w:szCs w:val="18"/>
              </w:rPr>
              <w:t xml:space="preserve">Dátum: </w:t>
            </w:r>
            <w:r w:rsidRPr="005C2CBA">
              <w:rPr>
                <w:rFonts w:eastAsia="MS Mincho"/>
                <w:i/>
                <w:iCs/>
                <w:sz w:val="18"/>
                <w:szCs w:val="18"/>
              </w:rPr>
              <w:t>(nn/hh/éééé)</w:t>
            </w:r>
            <w:r w:rsidRPr="005C2CBA">
              <w:rPr>
                <w:rFonts w:eastAsia="MS Mincho"/>
                <w:sz w:val="18"/>
                <w:szCs w:val="18"/>
              </w:rPr>
              <w:t xml:space="preserve"> Helyi idő: </w:t>
            </w:r>
            <w:r w:rsidRPr="005C2CBA">
              <w:rPr>
                <w:rFonts w:eastAsia="MS Mincho"/>
                <w:i/>
                <w:iCs/>
                <w:sz w:val="18"/>
                <w:szCs w:val="18"/>
              </w:rPr>
              <w:t>(óó:pp)</w:t>
            </w:r>
          </w:p>
        </w:tc>
      </w:tr>
      <w:tr w:rsidR="00810429" w:rsidRPr="005C2CBA" w14:paraId="1DA3103E"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2D7C3B0F" w14:textId="77777777" w:rsidR="00810429" w:rsidRPr="005C2CBA" w:rsidRDefault="00810429" w:rsidP="0084156F">
            <w:pPr>
              <w:autoSpaceDE w:val="0"/>
              <w:autoSpaceDN w:val="0"/>
              <w:adjustRightInd w:val="0"/>
              <w:spacing w:before="120" w:after="120"/>
              <w:rPr>
                <w:rFonts w:eastAsia="MS Mincho"/>
                <w:b/>
                <w:bCs/>
                <w:sz w:val="18"/>
                <w:szCs w:val="18"/>
                <w:vertAlign w:val="superscript"/>
              </w:rPr>
            </w:pPr>
            <w:r w:rsidRPr="005C2CBA">
              <w:rPr>
                <w:rFonts w:eastAsia="MS Mincho"/>
                <w:b/>
                <w:bCs/>
                <w:sz w:val="18"/>
                <w:szCs w:val="18"/>
              </w:rPr>
              <w:t xml:space="preserve">IV.2.3) Az ajánlattételi vagy részvételi felhívás kiválasztott jelentkezők részére történő megküldésének becsült dátuma </w:t>
            </w:r>
            <w:r w:rsidRPr="005C2CBA">
              <w:rPr>
                <w:rFonts w:eastAsia="MS Mincho"/>
                <w:b/>
                <w:bCs/>
                <w:sz w:val="18"/>
                <w:szCs w:val="18"/>
                <w:vertAlign w:val="superscript"/>
              </w:rPr>
              <w:t>4</w:t>
            </w:r>
          </w:p>
          <w:p w14:paraId="11F275E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Dátum: </w:t>
            </w:r>
            <w:r w:rsidRPr="005C2CBA">
              <w:rPr>
                <w:rFonts w:eastAsia="MS Mincho"/>
                <w:i/>
                <w:iCs/>
                <w:sz w:val="18"/>
                <w:szCs w:val="18"/>
              </w:rPr>
              <w:t>(nn/hh/éééé)</w:t>
            </w:r>
          </w:p>
        </w:tc>
      </w:tr>
      <w:tr w:rsidR="00810429" w:rsidRPr="005C2CBA" w14:paraId="4F58F35E"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13B2D9C4"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sz w:val="18"/>
                <w:szCs w:val="18"/>
              </w:rPr>
              <w:t>IV.2.4) Azok a nyelvek, amelyeken az ajánlatok vagy részvételi jelentkezések benyújthatók:</w:t>
            </w:r>
            <w:r w:rsidRPr="005C2CBA">
              <w:rPr>
                <w:rFonts w:eastAsia="MS Mincho"/>
                <w:sz w:val="18"/>
                <w:szCs w:val="18"/>
              </w:rPr>
              <w:t xml:space="preserve"> </w:t>
            </w:r>
            <w:r w:rsidRPr="005C2CBA">
              <w:rPr>
                <w:b/>
                <w:color w:val="00B0F0"/>
              </w:rPr>
              <w:t>HU</w:t>
            </w:r>
            <w:r w:rsidRPr="005C2CBA">
              <w:rPr>
                <w:rFonts w:eastAsia="MS Mincho"/>
                <w:sz w:val="18"/>
                <w:szCs w:val="18"/>
              </w:rPr>
              <w:t xml:space="preserve"> </w:t>
            </w:r>
            <w:r w:rsidRPr="005C2CBA">
              <w:rPr>
                <w:rFonts w:eastAsia="MS Mincho"/>
                <w:b/>
                <w:bCs/>
                <w:sz w:val="18"/>
                <w:szCs w:val="18"/>
                <w:vertAlign w:val="superscript"/>
              </w:rPr>
              <w:t>1</w:t>
            </w:r>
          </w:p>
        </w:tc>
      </w:tr>
      <w:tr w:rsidR="00810429" w:rsidRPr="005C2CBA" w14:paraId="53E3B351"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227D3BB6"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IV.2.6) Az ajánlati kötöttség minimális időtartama</w:t>
            </w:r>
          </w:p>
          <w:p w14:paraId="3968716F" w14:textId="77777777" w:rsidR="00810429" w:rsidRPr="005C2CBA" w:rsidRDefault="00810429" w:rsidP="0084156F">
            <w:pPr>
              <w:autoSpaceDE w:val="0"/>
              <w:autoSpaceDN w:val="0"/>
              <w:adjustRightInd w:val="0"/>
              <w:spacing w:before="120" w:after="120"/>
              <w:rPr>
                <w:rFonts w:eastAsia="MS Mincho"/>
                <w:i/>
                <w:iCs/>
                <w:sz w:val="18"/>
                <w:szCs w:val="18"/>
              </w:rPr>
            </w:pPr>
            <w:r w:rsidRPr="005C2CBA">
              <w:rPr>
                <w:rFonts w:eastAsia="MS Mincho"/>
                <w:sz w:val="18"/>
                <w:szCs w:val="18"/>
              </w:rPr>
              <w:t>Az ajánlati kötöttség végső dátuma:</w:t>
            </w:r>
            <w:r w:rsidRPr="005C2CBA">
              <w:rPr>
                <w:rFonts w:ascii="Lucida Sans Unicode" w:eastAsia="MS Mincho" w:hAnsi="Lucida Sans Unicode" w:cs="Lucida Sans Unicode"/>
                <w:color w:val="000000"/>
                <w:sz w:val="14"/>
                <w:szCs w:val="14"/>
              </w:rPr>
              <w:t xml:space="preserve"> </w:t>
            </w:r>
            <w:r w:rsidRPr="005C2CBA">
              <w:rPr>
                <w:rFonts w:eastAsia="MS Mincho"/>
                <w:i/>
                <w:iCs/>
                <w:sz w:val="18"/>
                <w:szCs w:val="18"/>
              </w:rPr>
              <w:t>(nn/hh/éééé)</w:t>
            </w:r>
          </w:p>
          <w:p w14:paraId="76D491A1"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i/>
                <w:iCs/>
                <w:sz w:val="18"/>
                <w:szCs w:val="18"/>
              </w:rPr>
              <w:t>vagy</w:t>
            </w:r>
            <w:r w:rsidRPr="005C2CBA">
              <w:rPr>
                <w:rFonts w:eastAsia="MS Mincho"/>
                <w:b/>
                <w:bCs/>
                <w:sz w:val="18"/>
                <w:szCs w:val="18"/>
              </w:rPr>
              <w:t xml:space="preserve"> </w:t>
            </w:r>
            <w:r w:rsidRPr="005C2CBA">
              <w:rPr>
                <w:rFonts w:eastAsia="MS Mincho"/>
                <w:sz w:val="18"/>
                <w:szCs w:val="18"/>
              </w:rPr>
              <w:t>Az időtartam hónapban: [1] (az ajánlattételi határidő lejártától számítva)</w:t>
            </w:r>
          </w:p>
        </w:tc>
      </w:tr>
      <w:tr w:rsidR="00810429" w:rsidRPr="005C2CBA" w14:paraId="51D5A184"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6162FE92" w14:textId="77777777" w:rsidR="00810429" w:rsidRPr="005C2CBA" w:rsidRDefault="00810429" w:rsidP="0084156F">
            <w:pPr>
              <w:autoSpaceDE w:val="0"/>
              <w:autoSpaceDN w:val="0"/>
              <w:adjustRightInd w:val="0"/>
              <w:spacing w:before="120" w:after="120"/>
              <w:rPr>
                <w:rFonts w:eastAsia="MS Mincho"/>
                <w:b/>
                <w:bCs/>
                <w:sz w:val="18"/>
                <w:szCs w:val="18"/>
              </w:rPr>
            </w:pPr>
            <w:r w:rsidRPr="005C2CBA">
              <w:rPr>
                <w:rFonts w:eastAsia="MS Mincho"/>
                <w:b/>
                <w:bCs/>
                <w:sz w:val="18"/>
                <w:szCs w:val="18"/>
              </w:rPr>
              <w:t>IV.2.7) Az ajánlatok felbontásának feltételei</w:t>
            </w:r>
          </w:p>
          <w:p w14:paraId="2DCD0035" w14:textId="77777777" w:rsidR="00810429" w:rsidRPr="005C2CBA" w:rsidRDefault="00810429" w:rsidP="0084156F">
            <w:pPr>
              <w:autoSpaceDE w:val="0"/>
              <w:autoSpaceDN w:val="0"/>
              <w:adjustRightInd w:val="0"/>
              <w:spacing w:before="120" w:after="120"/>
              <w:rPr>
                <w:b/>
                <w:color w:val="00B0F0"/>
              </w:rPr>
            </w:pPr>
            <w:r w:rsidRPr="005C2CBA">
              <w:rPr>
                <w:rFonts w:eastAsia="MS Mincho"/>
                <w:sz w:val="18"/>
                <w:szCs w:val="18"/>
              </w:rPr>
              <w:t xml:space="preserve">Dátum: </w:t>
            </w:r>
            <w:r w:rsidRPr="005C2CBA">
              <w:rPr>
                <w:rFonts w:eastAsia="MS Mincho"/>
                <w:i/>
                <w:iCs/>
                <w:sz w:val="18"/>
                <w:szCs w:val="18"/>
              </w:rPr>
              <w:t>(nn/hh/éééé)</w:t>
            </w:r>
            <w:r w:rsidRPr="005C2CBA">
              <w:rPr>
                <w:rFonts w:eastAsia="MS Mincho"/>
                <w:sz w:val="18"/>
                <w:szCs w:val="18"/>
              </w:rPr>
              <w:t xml:space="preserve"> Helyi idő: </w:t>
            </w:r>
            <w:r w:rsidRPr="005C2CBA">
              <w:rPr>
                <w:rFonts w:eastAsia="MS Mincho"/>
                <w:i/>
                <w:iCs/>
                <w:sz w:val="18"/>
                <w:szCs w:val="18"/>
              </w:rPr>
              <w:t>(óó:pp)</w:t>
            </w:r>
            <w:r w:rsidRPr="005C2CBA">
              <w:rPr>
                <w:rFonts w:eastAsia="MS Mincho"/>
                <w:sz w:val="18"/>
                <w:szCs w:val="18"/>
              </w:rPr>
              <w:t xml:space="preserve">     Hely:</w:t>
            </w:r>
            <w:r w:rsidRPr="005C2CBA">
              <w:rPr>
                <w:rFonts w:eastAsia="MS Mincho"/>
              </w:rPr>
              <w:t xml:space="preserve"> </w:t>
            </w:r>
            <w:r w:rsidRPr="005C2CBA">
              <w:rPr>
                <w:b/>
                <w:color w:val="00B0F0"/>
              </w:rPr>
              <w:t>Az ajánlatok felbontása az Elektronikus Közbeszerzési Rendszerben (EKR) elektronikusan történik.</w:t>
            </w:r>
          </w:p>
          <w:p w14:paraId="2C8DAA93"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Információk a jogosultakról és a bontási eljárásról:</w:t>
            </w:r>
            <w:r w:rsidRPr="005C2CBA">
              <w:rPr>
                <w:rFonts w:ascii="Helvetica" w:eastAsia="MS Mincho" w:hAnsi="Helvetica" w:cs="Helvetica"/>
                <w:color w:val="336699"/>
                <w:sz w:val="12"/>
                <w:szCs w:val="12"/>
              </w:rPr>
              <w:t xml:space="preserve"> </w:t>
            </w:r>
            <w:r w:rsidRPr="005C2CBA">
              <w:rPr>
                <w:b/>
                <w:color w:val="00B0F0"/>
              </w:rPr>
              <w:t>Az elektronikus bontás szabályait az elektronikus közbeszerzés részletes szabályairól szóló 424/2017. (XII.19.) Korm.rendelet ( továbbiakban: e-Kr.) 15. §-a tartalmazza.</w:t>
            </w:r>
          </w:p>
        </w:tc>
      </w:tr>
    </w:tbl>
    <w:p w14:paraId="0BA2362C" w14:textId="77777777" w:rsidR="00810429" w:rsidRPr="005C2CBA" w:rsidRDefault="00810429" w:rsidP="00810429">
      <w:pPr>
        <w:autoSpaceDE w:val="0"/>
        <w:autoSpaceDN w:val="0"/>
        <w:adjustRightInd w:val="0"/>
        <w:spacing w:before="120" w:after="120"/>
        <w:jc w:val="both"/>
        <w:rPr>
          <w:rFonts w:eastAsia="MS Mincho"/>
          <w:sz w:val="22"/>
          <w:szCs w:val="22"/>
        </w:rPr>
      </w:pPr>
    </w:p>
    <w:p w14:paraId="6904FB11" w14:textId="77777777" w:rsidR="00810429" w:rsidRPr="005C2CBA" w:rsidRDefault="00810429" w:rsidP="00810429">
      <w:pPr>
        <w:autoSpaceDE w:val="0"/>
        <w:autoSpaceDN w:val="0"/>
        <w:adjustRightInd w:val="0"/>
        <w:spacing w:before="120" w:after="120"/>
        <w:rPr>
          <w:rFonts w:eastAsia="MS Mincho"/>
          <w:b/>
          <w:bCs/>
          <w:sz w:val="28"/>
          <w:szCs w:val="28"/>
        </w:rPr>
      </w:pPr>
      <w:r w:rsidRPr="005C2CBA">
        <w:rPr>
          <w:rFonts w:eastAsia="MS Mincho"/>
          <w:b/>
          <w:bCs/>
          <w:sz w:val="28"/>
          <w:szCs w:val="28"/>
        </w:rPr>
        <w:t>VI. szakasz: Kiegészítő információk</w:t>
      </w:r>
    </w:p>
    <w:p w14:paraId="7F20A725" w14:textId="77777777" w:rsidR="00810429" w:rsidRPr="005C2CBA" w:rsidRDefault="00810429" w:rsidP="00810429">
      <w:pPr>
        <w:autoSpaceDE w:val="0"/>
        <w:autoSpaceDN w:val="0"/>
        <w:adjustRightInd w:val="0"/>
        <w:spacing w:before="120" w:after="120"/>
        <w:jc w:val="both"/>
        <w:rPr>
          <w:rFonts w:eastAsia="MS Mincho"/>
          <w:sz w:val="22"/>
          <w:szCs w:val="22"/>
        </w:rPr>
      </w:pPr>
    </w:p>
    <w:p w14:paraId="22B92CD5" w14:textId="77777777" w:rsidR="00810429" w:rsidRPr="005C2CBA" w:rsidRDefault="00810429" w:rsidP="00810429">
      <w:pPr>
        <w:autoSpaceDE w:val="0"/>
        <w:autoSpaceDN w:val="0"/>
        <w:adjustRightInd w:val="0"/>
        <w:spacing w:before="120" w:after="120"/>
        <w:rPr>
          <w:rFonts w:eastAsia="MS Mincho"/>
          <w:b/>
          <w:bCs/>
          <w:sz w:val="22"/>
          <w:szCs w:val="22"/>
        </w:rPr>
      </w:pPr>
      <w:r w:rsidRPr="005C2CBA">
        <w:rPr>
          <w:rFonts w:eastAsia="MS Mincho"/>
          <w:b/>
          <w:bCs/>
          <w:sz w:val="22"/>
          <w:szCs w:val="22"/>
        </w:rPr>
        <w:t>VI.1) A közbeszerzés ismétlődő jellegére vonatkozó információk</w:t>
      </w:r>
    </w:p>
    <w:tbl>
      <w:tblPr>
        <w:tblW w:w="0" w:type="auto"/>
        <w:tblInd w:w="2" w:type="dxa"/>
        <w:tblLayout w:type="fixed"/>
        <w:tblLook w:val="0000" w:firstRow="0" w:lastRow="0" w:firstColumn="0" w:lastColumn="0" w:noHBand="0" w:noVBand="0"/>
      </w:tblPr>
      <w:tblGrid>
        <w:gridCol w:w="9626"/>
      </w:tblGrid>
      <w:tr w:rsidR="00810429" w:rsidRPr="005C2CBA" w14:paraId="4C6E2A43"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34F99A8E"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A közbeszerzés ismétlődő jellegű </w:t>
            </w:r>
            <w:r w:rsidRPr="005C2CBA">
              <w:rPr>
                <w:rFonts w:ascii="MS Mincho" w:eastAsia="MS Mincho" w:hAnsi="MS Mincho" w:cs="MS Mincho"/>
                <w:sz w:val="18"/>
                <w:szCs w:val="18"/>
              </w:rPr>
              <w:t>◯</w:t>
            </w:r>
            <w:r w:rsidRPr="005C2CBA">
              <w:rPr>
                <w:rFonts w:eastAsia="MS Mincho"/>
                <w:sz w:val="18"/>
                <w:szCs w:val="18"/>
              </w:rPr>
              <w:t xml:space="preserve"> igen x nem</w:t>
            </w:r>
          </w:p>
          <w:p w14:paraId="66AB15B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A további hirdetmények közzétételének tervezett ideje: </w:t>
            </w:r>
            <w:r w:rsidRPr="005C2CBA">
              <w:rPr>
                <w:rFonts w:eastAsia="MS Mincho"/>
                <w:b/>
                <w:bCs/>
                <w:sz w:val="18"/>
                <w:szCs w:val="18"/>
                <w:vertAlign w:val="superscript"/>
              </w:rPr>
              <w:t>2</w:t>
            </w:r>
          </w:p>
        </w:tc>
      </w:tr>
    </w:tbl>
    <w:p w14:paraId="39581911" w14:textId="77777777" w:rsidR="00810429" w:rsidRPr="005C2CBA" w:rsidRDefault="00810429" w:rsidP="00810429">
      <w:pPr>
        <w:autoSpaceDE w:val="0"/>
        <w:autoSpaceDN w:val="0"/>
        <w:adjustRightInd w:val="0"/>
        <w:spacing w:before="120" w:after="120"/>
        <w:jc w:val="both"/>
        <w:rPr>
          <w:rFonts w:eastAsia="MS Mincho"/>
          <w:sz w:val="22"/>
          <w:szCs w:val="22"/>
        </w:rPr>
      </w:pPr>
    </w:p>
    <w:p w14:paraId="03C67B05" w14:textId="77777777" w:rsidR="00810429" w:rsidRPr="005C2CBA" w:rsidRDefault="00810429" w:rsidP="00810429">
      <w:pPr>
        <w:autoSpaceDE w:val="0"/>
        <w:autoSpaceDN w:val="0"/>
        <w:adjustRightInd w:val="0"/>
        <w:spacing w:before="120" w:after="120"/>
        <w:rPr>
          <w:rFonts w:eastAsia="MS Mincho"/>
          <w:b/>
          <w:bCs/>
          <w:sz w:val="22"/>
          <w:szCs w:val="22"/>
        </w:rPr>
      </w:pPr>
      <w:r w:rsidRPr="005C2CBA">
        <w:rPr>
          <w:rFonts w:eastAsia="MS Mincho"/>
          <w:b/>
          <w:bCs/>
          <w:sz w:val="22"/>
          <w:szCs w:val="22"/>
        </w:rPr>
        <w:t>VI.2) Információ az elektronikus munkafolyamatokról</w:t>
      </w:r>
    </w:p>
    <w:tbl>
      <w:tblPr>
        <w:tblW w:w="0" w:type="auto"/>
        <w:tblInd w:w="2" w:type="dxa"/>
        <w:tblLayout w:type="fixed"/>
        <w:tblLook w:val="0000" w:firstRow="0" w:lastRow="0" w:firstColumn="0" w:lastColumn="0" w:noHBand="0" w:noVBand="0"/>
      </w:tblPr>
      <w:tblGrid>
        <w:gridCol w:w="9626"/>
      </w:tblGrid>
      <w:tr w:rsidR="00810429" w:rsidRPr="005C2CBA" w14:paraId="536038D5"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706A1A1F"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A megrendelés elektronikus úton történik</w:t>
            </w:r>
          </w:p>
          <w:p w14:paraId="31791704"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 Elektronikusan benyújtott számlákat elfogadnak</w:t>
            </w:r>
          </w:p>
          <w:p w14:paraId="0D74C2C2"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x A fizetés elektronikus úton történik</w:t>
            </w:r>
          </w:p>
        </w:tc>
      </w:tr>
    </w:tbl>
    <w:p w14:paraId="2D71319A" w14:textId="77777777" w:rsidR="00810429" w:rsidRPr="005C2CBA" w:rsidRDefault="00810429" w:rsidP="00810429">
      <w:pPr>
        <w:autoSpaceDE w:val="0"/>
        <w:autoSpaceDN w:val="0"/>
        <w:adjustRightInd w:val="0"/>
        <w:spacing w:before="120" w:after="120"/>
        <w:jc w:val="both"/>
        <w:rPr>
          <w:rFonts w:eastAsia="MS Mincho"/>
          <w:sz w:val="22"/>
          <w:szCs w:val="22"/>
        </w:rPr>
      </w:pPr>
    </w:p>
    <w:p w14:paraId="6A889BD6" w14:textId="77777777" w:rsidR="00810429" w:rsidRPr="005C2CBA" w:rsidRDefault="00810429" w:rsidP="00810429">
      <w:pPr>
        <w:autoSpaceDE w:val="0"/>
        <w:autoSpaceDN w:val="0"/>
        <w:adjustRightInd w:val="0"/>
        <w:spacing w:before="120" w:after="120"/>
        <w:rPr>
          <w:rFonts w:eastAsia="MS Mincho"/>
          <w:b/>
          <w:bCs/>
        </w:rPr>
      </w:pPr>
      <w:r w:rsidRPr="005C2CBA">
        <w:rPr>
          <w:rFonts w:eastAsia="MS Mincho"/>
          <w:b/>
          <w:bCs/>
          <w:sz w:val="22"/>
          <w:szCs w:val="22"/>
        </w:rPr>
        <w:t xml:space="preserve">VI.3) További információk: </w:t>
      </w:r>
      <w:r w:rsidRPr="005C2CBA">
        <w:rPr>
          <w:rFonts w:eastAsia="MS Mincho"/>
          <w:b/>
          <w:bCs/>
          <w:sz w:val="18"/>
          <w:szCs w:val="18"/>
          <w:vertAlign w:val="superscript"/>
        </w:rPr>
        <w:t>2</w:t>
      </w:r>
    </w:p>
    <w:tbl>
      <w:tblPr>
        <w:tblW w:w="0" w:type="auto"/>
        <w:tblInd w:w="2" w:type="dxa"/>
        <w:tblLayout w:type="fixed"/>
        <w:tblLook w:val="0000" w:firstRow="0" w:lastRow="0" w:firstColumn="0" w:lastColumn="0" w:noHBand="0" w:noVBand="0"/>
      </w:tblPr>
      <w:tblGrid>
        <w:gridCol w:w="9626"/>
      </w:tblGrid>
      <w:tr w:rsidR="00810429" w:rsidRPr="005C2CBA" w14:paraId="61E47118" w14:textId="77777777" w:rsidTr="0084156F">
        <w:trPr>
          <w:trHeight w:val="1"/>
        </w:trPr>
        <w:tc>
          <w:tcPr>
            <w:tcW w:w="9626" w:type="dxa"/>
            <w:tcBorders>
              <w:top w:val="single" w:sz="2" w:space="0" w:color="000000"/>
              <w:left w:val="single" w:sz="2" w:space="0" w:color="000000"/>
              <w:bottom w:val="single" w:sz="2" w:space="0" w:color="000000"/>
              <w:right w:val="single" w:sz="2" w:space="0" w:color="000000"/>
            </w:tcBorders>
            <w:shd w:val="clear" w:color="000000" w:fill="FFFFFF"/>
          </w:tcPr>
          <w:p w14:paraId="15CF581B"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 </w:t>
            </w:r>
            <w:r w:rsidR="00810429" w:rsidRPr="005C2CBA">
              <w:rPr>
                <w:b/>
                <w:color w:val="00B0F0"/>
              </w:rPr>
              <w:t xml:space="preserve">A közbeszerzési dokumentumok (KD)elérése Kbt. 57.§(2)szerint, az eljárásban való részvétel feltétele.A KD másra át nem ruházható, közzé nem tehető,közös ajánlattétel esetén elegendő,ha a KD-t az egyik AT eléri.A KD regisztráció után elektronikusan elérhető </w:t>
            </w:r>
            <w:hyperlink r:id="rId7" w:history="1">
              <w:r w:rsidRPr="005C2CBA">
                <w:rPr>
                  <w:rStyle w:val="Hiperhivatkozs"/>
                  <w:b/>
                </w:rPr>
                <w:t>www.ekr.gov.hu</w:t>
              </w:r>
            </w:hyperlink>
            <w:r w:rsidR="00810429" w:rsidRPr="005C2CBA">
              <w:rPr>
                <w:b/>
                <w:color w:val="00B0F0"/>
              </w:rPr>
              <w:t xml:space="preserve">. </w:t>
            </w:r>
          </w:p>
          <w:p w14:paraId="4E73C4D9"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2. </w:t>
            </w:r>
            <w:r w:rsidR="00810429" w:rsidRPr="005C2CBA">
              <w:rPr>
                <w:b/>
                <w:color w:val="00B0F0"/>
              </w:rPr>
              <w:t>Ajánlati biztosíték nincs.</w:t>
            </w:r>
          </w:p>
          <w:p w14:paraId="4A5385C8"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3. </w:t>
            </w:r>
            <w:r w:rsidR="00810429" w:rsidRPr="005C2CBA">
              <w:rPr>
                <w:b/>
                <w:color w:val="00B0F0"/>
              </w:rPr>
              <w:t>Kieg.tájékoztatás:a Kbt.56.§(1)–(5)és a közbesz. dok.ban foglaltak szerint,az EKR rendszeren keresztül. Helyszíni bejárás,konzultáció nincs.</w:t>
            </w:r>
          </w:p>
          <w:p w14:paraId="01403868"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4. </w:t>
            </w:r>
            <w:r w:rsidR="00810429" w:rsidRPr="005C2CBA">
              <w:rPr>
                <w:b/>
                <w:color w:val="00B0F0"/>
              </w:rPr>
              <w:t xml:space="preserve">Ajánlatkérő a Kbt. 81. § (4)-(5). bekezdését alkalmazza. </w:t>
            </w:r>
          </w:p>
          <w:p w14:paraId="17C08CBB"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5. </w:t>
            </w:r>
            <w:r w:rsidR="00810429" w:rsidRPr="005C2CBA">
              <w:rPr>
                <w:b/>
                <w:color w:val="00B0F0"/>
              </w:rPr>
              <w:t xml:space="preserve">Minősített AT-k:321/2015.Kr.30.§ (3)-(4),AK a III.1.3.)pont valamennyi alk-i feltétele esetében a minősített ajánlattevőknél szigorúbb követelményeket állapított meg. </w:t>
            </w:r>
          </w:p>
          <w:p w14:paraId="50E39616" w14:textId="19741DB5" w:rsidR="004A647B" w:rsidRPr="005C2CBA" w:rsidRDefault="004A647B" w:rsidP="004A647B">
            <w:pPr>
              <w:autoSpaceDE w:val="0"/>
              <w:autoSpaceDN w:val="0"/>
              <w:adjustRightInd w:val="0"/>
              <w:spacing w:before="120" w:after="120"/>
              <w:jc w:val="both"/>
              <w:rPr>
                <w:b/>
                <w:color w:val="00B0F0"/>
              </w:rPr>
            </w:pPr>
            <w:r w:rsidRPr="005C2CBA">
              <w:rPr>
                <w:b/>
                <w:color w:val="00B0F0"/>
              </w:rPr>
              <w:t>6. Az ajánlatnak elsősorban, de nem kizárólagosan tart. kell a Kbt.66. § (2), (5), (6) [nemleges esetben is nyil. kell], 67.§ (4) és - adott esetben - a Kbt.65.§(7) bek.szerinti nyilatkozatokat, okiratokat, dokumentumokat.</w:t>
            </w:r>
            <w:r w:rsidR="00810429" w:rsidRPr="005C2CBA">
              <w:rPr>
                <w:b/>
                <w:color w:val="00B0F0"/>
              </w:rPr>
              <w:t xml:space="preserve"> </w:t>
            </w:r>
          </w:p>
          <w:p w14:paraId="46019927"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7. </w:t>
            </w:r>
            <w:r w:rsidR="00810429" w:rsidRPr="005C2CBA">
              <w:rPr>
                <w:b/>
                <w:color w:val="00B0F0"/>
              </w:rPr>
              <w:t xml:space="preserve">Értékelési szempontok:az legjobb ár-érték arány.A pontszám alsó és felső határa:0-100.Az értékelés módszere :arányosítás,ford.arányosítás, pontkiosztás,ismertetése a K.D-ban.Az értékelésnél a vizsgálati módszer a KDban. </w:t>
            </w:r>
          </w:p>
          <w:p w14:paraId="465D5684" w14:textId="3A98736D"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8. </w:t>
            </w:r>
            <w:r w:rsidR="00810429" w:rsidRPr="005C2CBA">
              <w:rPr>
                <w:b/>
                <w:color w:val="00B0F0"/>
              </w:rPr>
              <w:t>Hiánypótlás(HP):Kbt.71.§.AK a Kbt.71.§(6)alapján nem rendel el újabb HP-t, ha a HP-al az AT az ajánlatban korábban nem szereplő gazd.-i szereplőt vont be,és e szereplőre tekintettel lenne szükséges az újabb HP</w:t>
            </w:r>
            <w:r w:rsidRPr="005C2CBA">
              <w:rPr>
                <w:b/>
                <w:color w:val="00B0F0"/>
              </w:rPr>
              <w:t>-t.</w:t>
            </w:r>
          </w:p>
          <w:p w14:paraId="05CCEEA2" w14:textId="22F23364"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9. </w:t>
            </w:r>
            <w:r w:rsidR="00810429" w:rsidRPr="005C2CBA">
              <w:rPr>
                <w:b/>
                <w:color w:val="00B0F0"/>
              </w:rPr>
              <w:t xml:space="preserve">AK a Kbt.35.§(8)(9) alapján a nyertes AT-nek nem teszi lehetővé gazd. szervezet alapítását. </w:t>
            </w:r>
            <w:r w:rsidRPr="005C2CBA">
              <w:rPr>
                <w:b/>
                <w:color w:val="00B0F0"/>
              </w:rPr>
              <w:t xml:space="preserve">10. </w:t>
            </w:r>
            <w:r w:rsidR="00810429" w:rsidRPr="005C2CBA">
              <w:rPr>
                <w:b/>
                <w:color w:val="00B0F0"/>
              </w:rPr>
              <w:t xml:space="preserve">Kbt.73.§(4)-(5) alapján AT tájékozódjon a körny.védelmi, szoc. és munkajogi követelményekről. </w:t>
            </w:r>
          </w:p>
          <w:p w14:paraId="21EB66D0"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11. </w:t>
            </w:r>
            <w:r w:rsidR="00810429" w:rsidRPr="005C2CBA">
              <w:rPr>
                <w:b/>
                <w:color w:val="00B0F0"/>
              </w:rPr>
              <w:t xml:space="preserve">A különböző devizák forintra történő átszámításánál a felhívás feladásának napján érvényes MNB által meghat. devizaárfolyamokat kell alk. referenciáknál a teljesítés időpontjában érvényes devizaárfolyam irányadó.Az ajánlatban az átszámítást tartalmazó iratot közvetlenül a kérdéses ok mögé kell csatolni. </w:t>
            </w:r>
          </w:p>
          <w:p w14:paraId="5ED4089C" w14:textId="5F8C1168"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12. </w:t>
            </w:r>
            <w:r w:rsidR="00810429" w:rsidRPr="005C2CBA">
              <w:rPr>
                <w:b/>
                <w:color w:val="00B0F0"/>
              </w:rPr>
              <w:t xml:space="preserve">Az ajánlati kötöttség VI.2.6) pontban megjelölt 1 hónapos időtartamán AK 30 naptári napot ért. </w:t>
            </w:r>
          </w:p>
          <w:p w14:paraId="075B3AB7" w14:textId="77777777"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13. </w:t>
            </w:r>
            <w:r w:rsidR="00810429" w:rsidRPr="005C2CBA">
              <w:rPr>
                <w:b/>
                <w:color w:val="00B0F0"/>
              </w:rPr>
              <w:t xml:space="preserve">AK a Kbt.75.§ (2) bek e)pontja szerinti eredménytelenségi okot nem alkalmazza. </w:t>
            </w:r>
          </w:p>
          <w:p w14:paraId="51E8437D" w14:textId="4E2DBB3F"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14. </w:t>
            </w:r>
            <w:r w:rsidR="00810429" w:rsidRPr="005C2CBA">
              <w:rPr>
                <w:b/>
                <w:color w:val="00B0F0"/>
              </w:rPr>
              <w:t xml:space="preserve">Az Ajánlatkérő az ajánlati ár bírálati részszempontját az alábbi alszempontokra bontja. 1.1. Nettó vételár/ automata. Súlyszám 30; </w:t>
            </w:r>
          </w:p>
          <w:p w14:paraId="5671F76A" w14:textId="77777777" w:rsidR="004A647B" w:rsidRPr="005C2CBA" w:rsidRDefault="00810429" w:rsidP="004A647B">
            <w:pPr>
              <w:autoSpaceDE w:val="0"/>
              <w:autoSpaceDN w:val="0"/>
              <w:adjustRightInd w:val="0"/>
              <w:spacing w:before="120" w:after="120"/>
              <w:jc w:val="both"/>
              <w:rPr>
                <w:b/>
                <w:color w:val="00B0F0"/>
              </w:rPr>
            </w:pPr>
            <w:r w:rsidRPr="005C2CBA">
              <w:rPr>
                <w:b/>
                <w:color w:val="00B0F0"/>
              </w:rPr>
              <w:t xml:space="preserve">1.2. Nettó üzemeltetési díj/ hó/ automata. Súlyszám 40; </w:t>
            </w:r>
          </w:p>
          <w:p w14:paraId="6D2D71A6" w14:textId="7482928B" w:rsidR="004A647B" w:rsidRPr="005C2CBA" w:rsidRDefault="00810429" w:rsidP="004A647B">
            <w:pPr>
              <w:autoSpaceDE w:val="0"/>
              <w:autoSpaceDN w:val="0"/>
              <w:adjustRightInd w:val="0"/>
              <w:spacing w:before="120" w:after="120"/>
              <w:jc w:val="both"/>
              <w:rPr>
                <w:b/>
                <w:color w:val="00B0F0"/>
              </w:rPr>
            </w:pPr>
            <w:r w:rsidRPr="005C2CBA">
              <w:rPr>
                <w:b/>
                <w:color w:val="00B0F0"/>
              </w:rPr>
              <w:t xml:space="preserve">1.2.1. Nettó üzemeltetési díj/ hó/ automata jótállás időtartama alatt (24 hónap). Súlyszám 20; 1.2.2. Nettó üzemeltetési díj/ hó/ automata jótállási időtartamon (24 hónapon) túl. Súlyszám 20. </w:t>
            </w:r>
          </w:p>
          <w:p w14:paraId="036DECD6" w14:textId="6B14C7AA" w:rsidR="004A647B" w:rsidRPr="005C2CBA" w:rsidRDefault="004A647B" w:rsidP="004A647B">
            <w:pPr>
              <w:autoSpaceDE w:val="0"/>
              <w:autoSpaceDN w:val="0"/>
              <w:adjustRightInd w:val="0"/>
              <w:spacing w:before="120" w:after="120"/>
              <w:jc w:val="both"/>
              <w:rPr>
                <w:b/>
                <w:color w:val="00B0F0"/>
              </w:rPr>
            </w:pPr>
            <w:r w:rsidRPr="005C2CBA">
              <w:rPr>
                <w:b/>
                <w:color w:val="00B0F0"/>
              </w:rPr>
              <w:t xml:space="preserve">15. </w:t>
            </w:r>
            <w:r w:rsidR="00810429" w:rsidRPr="005C2CBA">
              <w:rPr>
                <w:b/>
                <w:color w:val="00B0F0"/>
              </w:rPr>
              <w:t>Az ajánlathoz csatolni kell az üzemeltetési kézikönyvtervezetét. </w:t>
            </w:r>
          </w:p>
          <w:p w14:paraId="2B238737" w14:textId="77777777" w:rsidR="00810429" w:rsidRPr="005C2CBA" w:rsidRDefault="004A647B" w:rsidP="004A647B">
            <w:pPr>
              <w:autoSpaceDE w:val="0"/>
              <w:autoSpaceDN w:val="0"/>
              <w:adjustRightInd w:val="0"/>
              <w:spacing w:before="120" w:after="120"/>
              <w:jc w:val="both"/>
              <w:rPr>
                <w:b/>
                <w:color w:val="00B0F0"/>
              </w:rPr>
            </w:pPr>
            <w:r w:rsidRPr="005C2CBA">
              <w:rPr>
                <w:b/>
                <w:color w:val="00B0F0"/>
              </w:rPr>
              <w:t xml:space="preserve">16. </w:t>
            </w:r>
            <w:r w:rsidR="00810429" w:rsidRPr="005C2CBA">
              <w:rPr>
                <w:b/>
                <w:color w:val="00B0F0"/>
              </w:rPr>
              <w:t>Az ajánlatkérő a Kbt. 61. § (4) bek. alapján megvizsgálta, hogy a beszerzés tárgyának jellege és a szerződéshez kapcsolódó további körülmények lehetővé teszik-e a közbeszerzés egy részére történő ajánlattételt. Az ajánlatkérő nem biztosítja a részekre történő ajánlattételt, ennek indoka következő: Ajánlatkérő megvizsgálta a részajánlat tétel lehetőségét és azt nem tartja gazdaságilag ésszerűnek, a beszerzés nem osztható oly módon, hogy az a közpénzek hatékony felhasználását eredményezné.</w:t>
            </w:r>
            <w:r w:rsidR="00810429" w:rsidRPr="005C2CBA">
              <w:rPr>
                <w:b/>
                <w:color w:val="00B0F0"/>
              </w:rPr>
              <w:br/>
              <w:t>Azon túl, hogy a részekre bontás mellőzése egy költséghatékonyabb megoldás, álláspontunk szerint egy teljesen jogos és alapos igény Ajánlatkérő részéről, hogy az automaták legyártása/leszállítása, üzembe helyezése és műszaki jellegű üzemeltetése egy kézben összpontosuljon. Az automaták biztonságos üzemeltetése ugyanis azt kívánja meg, hogy egyazon szerződéses partner végezze az automaták leszállítását/üzembe helyezését és azok üzemeltetését. A felelősségi kérdések (jótállás, szavatosság) egyértelmű tisztázását is az segíti elő, hogy az érintett feladatok egy kézben valósuljanak meg, így a felelősség áthárítása gyakorlatilag kizárt. A fenti gazdasági, műszaki és minőségi, vagy a szerződés teljesítésével kapcsolatos szempontokat figyelembe véve nem ésszerűtlen a részekre történő ajánlattétel kizárása.</w:t>
            </w:r>
          </w:p>
          <w:p w14:paraId="503CCA8B" w14:textId="173CA51E" w:rsidR="00810429" w:rsidRPr="005C2CBA" w:rsidRDefault="004A647B" w:rsidP="00400AB9">
            <w:pPr>
              <w:autoSpaceDE w:val="0"/>
              <w:autoSpaceDN w:val="0"/>
              <w:adjustRightInd w:val="0"/>
              <w:spacing w:before="120" w:after="120"/>
              <w:jc w:val="both"/>
              <w:rPr>
                <w:b/>
                <w:color w:val="00B0F0"/>
              </w:rPr>
            </w:pPr>
            <w:r w:rsidRPr="005C2CBA">
              <w:rPr>
                <w:b/>
                <w:color w:val="00B0F0"/>
              </w:rPr>
              <w:t xml:space="preserve">17. </w:t>
            </w:r>
            <w:r w:rsidR="00810429" w:rsidRPr="005C2CBA">
              <w:rPr>
                <w:b/>
                <w:color w:val="00B0F0"/>
              </w:rPr>
              <w:t>FAKSZ: ...................... (lajstromszám: ....................)</w:t>
            </w:r>
          </w:p>
          <w:p w14:paraId="0D0708AC" w14:textId="75C649C9" w:rsidR="00D217B2" w:rsidRPr="005C2CBA" w:rsidRDefault="00D217B2" w:rsidP="00400AB9">
            <w:pPr>
              <w:autoSpaceDE w:val="0"/>
              <w:autoSpaceDN w:val="0"/>
              <w:adjustRightInd w:val="0"/>
              <w:spacing w:before="120" w:after="120"/>
              <w:jc w:val="both"/>
              <w:rPr>
                <w:rFonts w:ascii="Calibri" w:eastAsia="MS Mincho" w:hAnsi="Calibri"/>
              </w:rPr>
            </w:pPr>
            <w:r w:rsidRPr="005C2CBA">
              <w:rPr>
                <w:b/>
                <w:color w:val="00B0F0"/>
              </w:rPr>
              <w:t>18. A II.2.7. pontja szerinti 42 hónapot azzal adja meg az AK, hogy a szerződés meghosszabbítási jog gyakorlása nélküli alapidőtartama legkésőbb 2022. július 15-én lejár.</w:t>
            </w:r>
          </w:p>
        </w:tc>
      </w:tr>
    </w:tbl>
    <w:p w14:paraId="13D391EB" w14:textId="77777777" w:rsidR="00810429" w:rsidRPr="005C2CBA" w:rsidRDefault="00810429" w:rsidP="00810429">
      <w:pPr>
        <w:autoSpaceDE w:val="0"/>
        <w:autoSpaceDN w:val="0"/>
        <w:adjustRightInd w:val="0"/>
        <w:spacing w:before="120" w:after="120"/>
        <w:jc w:val="both"/>
        <w:rPr>
          <w:rFonts w:eastAsia="MS Mincho"/>
          <w:sz w:val="22"/>
          <w:szCs w:val="22"/>
        </w:rPr>
      </w:pPr>
    </w:p>
    <w:p w14:paraId="3691A2F0" w14:textId="77777777" w:rsidR="00810429" w:rsidRPr="005C2CBA" w:rsidRDefault="00810429" w:rsidP="00810429">
      <w:pPr>
        <w:autoSpaceDE w:val="0"/>
        <w:autoSpaceDN w:val="0"/>
        <w:adjustRightInd w:val="0"/>
        <w:spacing w:before="120" w:after="120"/>
        <w:rPr>
          <w:rFonts w:eastAsia="MS Mincho"/>
          <w:b/>
          <w:bCs/>
          <w:sz w:val="22"/>
          <w:szCs w:val="22"/>
        </w:rPr>
      </w:pPr>
      <w:r w:rsidRPr="005C2CBA">
        <w:rPr>
          <w:rFonts w:eastAsia="MS Mincho"/>
          <w:b/>
          <w:bCs/>
          <w:sz w:val="22"/>
          <w:szCs w:val="22"/>
        </w:rPr>
        <w:t>VI.4) Jogorvoslati eljárás</w:t>
      </w:r>
    </w:p>
    <w:tbl>
      <w:tblPr>
        <w:tblW w:w="0" w:type="auto"/>
        <w:tblInd w:w="2" w:type="dxa"/>
        <w:tblLayout w:type="fixed"/>
        <w:tblLook w:val="0000" w:firstRow="0" w:lastRow="0" w:firstColumn="0" w:lastColumn="0" w:noHBand="0" w:noVBand="0"/>
      </w:tblPr>
      <w:tblGrid>
        <w:gridCol w:w="3608"/>
        <w:gridCol w:w="2668"/>
        <w:gridCol w:w="3350"/>
      </w:tblGrid>
      <w:tr w:rsidR="00810429" w:rsidRPr="005C2CBA" w14:paraId="73DC3311"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C249E5E"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color w:val="000000"/>
                <w:sz w:val="18"/>
                <w:szCs w:val="18"/>
              </w:rPr>
              <w:t>Vl.4.1) A jogorvoslati eljárást lebonyolító szerv</w:t>
            </w:r>
          </w:p>
        </w:tc>
      </w:tr>
      <w:tr w:rsidR="00810429" w:rsidRPr="005C2CBA" w14:paraId="55E61878"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1A018D9"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Hivatalos név: Közbeszerzési Döntőbizottság</w:t>
            </w:r>
          </w:p>
        </w:tc>
      </w:tr>
      <w:tr w:rsidR="00810429" w:rsidRPr="005C2CBA" w14:paraId="4327434C"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745930D"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cím: Riadó utca 5.</w:t>
            </w:r>
          </w:p>
        </w:tc>
      </w:tr>
      <w:tr w:rsidR="00810429" w:rsidRPr="005C2CBA" w14:paraId="665152F3" w14:textId="77777777" w:rsidTr="0084156F">
        <w:trPr>
          <w:trHeight w:val="1"/>
        </w:trPr>
        <w:tc>
          <w:tcPr>
            <w:tcW w:w="3608" w:type="dxa"/>
            <w:tcBorders>
              <w:top w:val="single" w:sz="2" w:space="0" w:color="000000"/>
              <w:left w:val="single" w:sz="2" w:space="0" w:color="000000"/>
              <w:bottom w:val="single" w:sz="2" w:space="0" w:color="000000"/>
              <w:right w:val="single" w:sz="2" w:space="0" w:color="000000"/>
            </w:tcBorders>
            <w:shd w:val="clear" w:color="000000" w:fill="FFFFFF"/>
          </w:tcPr>
          <w:p w14:paraId="544D91E6"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Város: Budapest</w:t>
            </w:r>
          </w:p>
        </w:tc>
        <w:tc>
          <w:tcPr>
            <w:tcW w:w="2668" w:type="dxa"/>
            <w:tcBorders>
              <w:top w:val="single" w:sz="2" w:space="0" w:color="000000"/>
              <w:left w:val="single" w:sz="2" w:space="0" w:color="000000"/>
              <w:bottom w:val="single" w:sz="2" w:space="0" w:color="000000"/>
              <w:right w:val="single" w:sz="2" w:space="0" w:color="000000"/>
            </w:tcBorders>
            <w:shd w:val="clear" w:color="000000" w:fill="FFFFFF"/>
          </w:tcPr>
          <w:p w14:paraId="3EE315D9"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irányítószám: 1026</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28C9F1E3"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Ország: HU</w:t>
            </w:r>
          </w:p>
        </w:tc>
      </w:tr>
      <w:tr w:rsidR="00810429" w:rsidRPr="005C2CBA" w14:paraId="5B017239"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8E82B0A"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E-mail: dontobizottsag@kt.hu</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5DC7F4A6"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Telefon: +36 18828594</w:t>
            </w:r>
          </w:p>
        </w:tc>
      </w:tr>
      <w:tr w:rsidR="00810429" w:rsidRPr="005C2CBA" w14:paraId="7723F0A9"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187E074"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Internetcím: </w:t>
            </w:r>
            <w:r w:rsidRPr="005C2CBA">
              <w:rPr>
                <w:rFonts w:eastAsia="MS Mincho"/>
                <w:i/>
                <w:iCs/>
                <w:sz w:val="18"/>
                <w:szCs w:val="18"/>
              </w:rPr>
              <w:t xml:space="preserve">(URL) </w:t>
            </w:r>
            <w:hyperlink r:id="rId8" w:history="1">
              <w:r w:rsidRPr="005C2CBA">
                <w:rPr>
                  <w:rFonts w:eastAsia="MS Mincho"/>
                  <w:color w:val="0000FF"/>
                  <w:sz w:val="18"/>
                  <w:szCs w:val="18"/>
                  <w:u w:val="single"/>
                </w:rPr>
                <w:t>http://www.kozbeszerzes.hu/magunkrol/dontobizottsag/</w:t>
              </w:r>
            </w:hyperlink>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34BAA3A0"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Fax: +36 18828593</w:t>
            </w:r>
          </w:p>
        </w:tc>
      </w:tr>
      <w:tr w:rsidR="00810429" w:rsidRPr="005C2CBA" w14:paraId="4BF75442"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8D484CC"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color w:val="000000"/>
                <w:sz w:val="18"/>
                <w:szCs w:val="18"/>
              </w:rPr>
              <w:t xml:space="preserve">Vl.4.2) A békéltetési eljárást lebonyolító szerv </w:t>
            </w:r>
            <w:r w:rsidRPr="005C2CBA">
              <w:rPr>
                <w:rFonts w:eastAsia="MS Mincho"/>
                <w:b/>
                <w:bCs/>
                <w:color w:val="000000"/>
                <w:sz w:val="18"/>
                <w:szCs w:val="18"/>
                <w:vertAlign w:val="superscript"/>
              </w:rPr>
              <w:t>2</w:t>
            </w:r>
          </w:p>
        </w:tc>
      </w:tr>
      <w:tr w:rsidR="00810429" w:rsidRPr="005C2CBA" w14:paraId="3F49C2B9"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A68531F"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Hivatalos név:</w:t>
            </w:r>
          </w:p>
        </w:tc>
      </w:tr>
      <w:tr w:rsidR="00810429" w:rsidRPr="005C2CBA" w14:paraId="62C12B85"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BC013B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cím:</w:t>
            </w:r>
          </w:p>
        </w:tc>
      </w:tr>
      <w:tr w:rsidR="00810429" w:rsidRPr="005C2CBA" w14:paraId="5D721BC9" w14:textId="77777777" w:rsidTr="0084156F">
        <w:trPr>
          <w:trHeight w:val="1"/>
        </w:trPr>
        <w:tc>
          <w:tcPr>
            <w:tcW w:w="3608" w:type="dxa"/>
            <w:tcBorders>
              <w:top w:val="single" w:sz="2" w:space="0" w:color="000000"/>
              <w:left w:val="single" w:sz="2" w:space="0" w:color="000000"/>
              <w:bottom w:val="single" w:sz="2" w:space="0" w:color="000000"/>
              <w:right w:val="single" w:sz="2" w:space="0" w:color="000000"/>
            </w:tcBorders>
            <w:shd w:val="clear" w:color="000000" w:fill="FFFFFF"/>
          </w:tcPr>
          <w:p w14:paraId="27AF7791"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Város:</w:t>
            </w:r>
          </w:p>
        </w:tc>
        <w:tc>
          <w:tcPr>
            <w:tcW w:w="2668" w:type="dxa"/>
            <w:tcBorders>
              <w:top w:val="single" w:sz="2" w:space="0" w:color="000000"/>
              <w:left w:val="single" w:sz="2" w:space="0" w:color="000000"/>
              <w:bottom w:val="single" w:sz="2" w:space="0" w:color="000000"/>
              <w:right w:val="single" w:sz="2" w:space="0" w:color="000000"/>
            </w:tcBorders>
            <w:shd w:val="clear" w:color="000000" w:fill="FFFFFF"/>
          </w:tcPr>
          <w:p w14:paraId="118ABEE2"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irányítószám:</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12C9A957"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Ország:</w:t>
            </w:r>
          </w:p>
        </w:tc>
      </w:tr>
      <w:tr w:rsidR="00810429" w:rsidRPr="005C2CBA" w14:paraId="524CFD0D"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A0DC29"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E-mail: </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1F2B118C"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Telefon:</w:t>
            </w:r>
          </w:p>
        </w:tc>
      </w:tr>
      <w:tr w:rsidR="00810429" w:rsidRPr="005C2CBA" w14:paraId="190FAF9A"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94C9B7"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Internetcím: </w:t>
            </w:r>
            <w:r w:rsidRPr="005C2CBA">
              <w:rPr>
                <w:rFonts w:eastAsia="MS Mincho"/>
                <w:i/>
                <w:iCs/>
                <w:sz w:val="18"/>
                <w:szCs w:val="18"/>
              </w:rPr>
              <w:t>(URL)</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5D0B6432"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Fax:</w:t>
            </w:r>
          </w:p>
        </w:tc>
      </w:tr>
      <w:tr w:rsidR="00810429" w:rsidRPr="005C2CBA" w14:paraId="3B1C843A"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9D06DD5" w14:textId="77777777" w:rsidR="00810429" w:rsidRPr="005C2CBA" w:rsidRDefault="00810429" w:rsidP="0084156F">
            <w:pPr>
              <w:autoSpaceDE w:val="0"/>
              <w:autoSpaceDN w:val="0"/>
              <w:adjustRightInd w:val="0"/>
              <w:spacing w:before="120" w:after="120"/>
              <w:rPr>
                <w:rFonts w:eastAsia="MS Mincho"/>
                <w:b/>
                <w:bCs/>
                <w:color w:val="000000"/>
                <w:sz w:val="18"/>
                <w:szCs w:val="18"/>
              </w:rPr>
            </w:pPr>
            <w:r w:rsidRPr="005C2CBA">
              <w:rPr>
                <w:rFonts w:eastAsia="MS Mincho"/>
                <w:b/>
                <w:bCs/>
                <w:color w:val="000000"/>
                <w:sz w:val="18"/>
                <w:szCs w:val="18"/>
              </w:rPr>
              <w:t>Vl.4.3) Jogorvoslati kérelmek benyújtása</w:t>
            </w:r>
          </w:p>
          <w:p w14:paraId="1C12316A" w14:textId="77777777" w:rsidR="00810429" w:rsidRPr="005C2CBA" w:rsidRDefault="00810429" w:rsidP="0084156F">
            <w:pPr>
              <w:autoSpaceDE w:val="0"/>
              <w:autoSpaceDN w:val="0"/>
              <w:adjustRightInd w:val="0"/>
              <w:spacing w:before="120" w:after="120"/>
              <w:rPr>
                <w:rFonts w:eastAsia="MS Mincho"/>
                <w:sz w:val="18"/>
                <w:szCs w:val="18"/>
              </w:rPr>
            </w:pPr>
            <w:r w:rsidRPr="005C2CBA">
              <w:rPr>
                <w:rFonts w:eastAsia="MS Mincho"/>
                <w:sz w:val="18"/>
                <w:szCs w:val="18"/>
              </w:rPr>
              <w:t xml:space="preserve">A jogorvoslati kérelmek benyújtásának határidejére vonatkozó pontos információ: </w:t>
            </w:r>
          </w:p>
          <w:p w14:paraId="00FE695B"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Kbt. 148. § szerint.</w:t>
            </w:r>
          </w:p>
        </w:tc>
      </w:tr>
      <w:tr w:rsidR="00810429" w:rsidRPr="005C2CBA" w14:paraId="1684B739"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0097971"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b/>
                <w:bCs/>
                <w:color w:val="000000"/>
                <w:sz w:val="18"/>
                <w:szCs w:val="18"/>
              </w:rPr>
              <w:t xml:space="preserve">Vl.4.4) A jogorvoslati kérelmek benyújtására vonatkozó információ a következő szervtől szerezhető be </w:t>
            </w:r>
            <w:r w:rsidRPr="005C2CBA">
              <w:rPr>
                <w:rFonts w:eastAsia="MS Mincho"/>
                <w:b/>
                <w:bCs/>
                <w:color w:val="000000"/>
                <w:sz w:val="18"/>
                <w:szCs w:val="18"/>
                <w:vertAlign w:val="superscript"/>
              </w:rPr>
              <w:t>2</w:t>
            </w:r>
          </w:p>
        </w:tc>
      </w:tr>
      <w:tr w:rsidR="00810429" w:rsidRPr="005C2CBA" w14:paraId="4EE0289F"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C75D102"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Hivatalos név: Közbeszerzési Döntőbizottság</w:t>
            </w:r>
          </w:p>
        </w:tc>
      </w:tr>
      <w:tr w:rsidR="00810429" w:rsidRPr="005C2CBA" w14:paraId="2BAF3200" w14:textId="77777777" w:rsidTr="0084156F">
        <w:trPr>
          <w:trHeight w:val="1"/>
        </w:trPr>
        <w:tc>
          <w:tcPr>
            <w:tcW w:w="9626"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8832F03"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cím: Riadó utca 5.</w:t>
            </w:r>
          </w:p>
        </w:tc>
      </w:tr>
      <w:tr w:rsidR="00810429" w:rsidRPr="005C2CBA" w14:paraId="3FB6ACCF" w14:textId="77777777" w:rsidTr="0084156F">
        <w:trPr>
          <w:trHeight w:val="1"/>
        </w:trPr>
        <w:tc>
          <w:tcPr>
            <w:tcW w:w="3608" w:type="dxa"/>
            <w:tcBorders>
              <w:top w:val="single" w:sz="2" w:space="0" w:color="000000"/>
              <w:left w:val="single" w:sz="2" w:space="0" w:color="000000"/>
              <w:bottom w:val="single" w:sz="2" w:space="0" w:color="000000"/>
              <w:right w:val="single" w:sz="2" w:space="0" w:color="000000"/>
            </w:tcBorders>
            <w:shd w:val="clear" w:color="000000" w:fill="FFFFFF"/>
          </w:tcPr>
          <w:p w14:paraId="7B1DEE68"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Város: Budapest</w:t>
            </w:r>
          </w:p>
        </w:tc>
        <w:tc>
          <w:tcPr>
            <w:tcW w:w="2668" w:type="dxa"/>
            <w:tcBorders>
              <w:top w:val="single" w:sz="2" w:space="0" w:color="000000"/>
              <w:left w:val="single" w:sz="2" w:space="0" w:color="000000"/>
              <w:bottom w:val="single" w:sz="2" w:space="0" w:color="000000"/>
              <w:right w:val="single" w:sz="2" w:space="0" w:color="000000"/>
            </w:tcBorders>
            <w:shd w:val="clear" w:color="000000" w:fill="FFFFFF"/>
          </w:tcPr>
          <w:p w14:paraId="465005C4"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Postai irányítószám: 1026</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06F9FEF5"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Ország: HU</w:t>
            </w:r>
          </w:p>
        </w:tc>
      </w:tr>
      <w:tr w:rsidR="00810429" w:rsidRPr="005C2CBA" w14:paraId="66646C11"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E1056B1"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E-mail: dontobizottsag@kt.hu</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33DAA7CE"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Telefon: +36 18828594</w:t>
            </w:r>
          </w:p>
        </w:tc>
      </w:tr>
      <w:tr w:rsidR="00810429" w:rsidRPr="005C2CBA" w14:paraId="78FC6CB0" w14:textId="77777777" w:rsidTr="0084156F">
        <w:trPr>
          <w:trHeight w:val="1"/>
        </w:trPr>
        <w:tc>
          <w:tcPr>
            <w:tcW w:w="627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592A709"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 xml:space="preserve">Internetcím: </w:t>
            </w:r>
            <w:r w:rsidRPr="005C2CBA">
              <w:rPr>
                <w:rFonts w:eastAsia="MS Mincho"/>
                <w:i/>
                <w:iCs/>
                <w:sz w:val="18"/>
                <w:szCs w:val="18"/>
              </w:rPr>
              <w:t xml:space="preserve">(URL) </w:t>
            </w:r>
            <w:hyperlink r:id="rId9" w:history="1">
              <w:r w:rsidRPr="005C2CBA">
                <w:rPr>
                  <w:rFonts w:eastAsia="MS Mincho"/>
                  <w:color w:val="0000FF"/>
                  <w:sz w:val="18"/>
                  <w:szCs w:val="18"/>
                  <w:u w:val="single"/>
                </w:rPr>
                <w:t>http://www.kozbeszerzes.hu/magunkrol/dontobizottsag/</w:t>
              </w:r>
            </w:hyperlink>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561EDC76" w14:textId="77777777" w:rsidR="00810429" w:rsidRPr="005C2CBA" w:rsidRDefault="00810429" w:rsidP="0084156F">
            <w:pPr>
              <w:autoSpaceDE w:val="0"/>
              <w:autoSpaceDN w:val="0"/>
              <w:adjustRightInd w:val="0"/>
              <w:spacing w:before="120" w:after="120"/>
              <w:rPr>
                <w:rFonts w:ascii="Calibri" w:eastAsia="MS Mincho" w:hAnsi="Calibri"/>
              </w:rPr>
            </w:pPr>
            <w:r w:rsidRPr="005C2CBA">
              <w:rPr>
                <w:rFonts w:eastAsia="MS Mincho"/>
                <w:sz w:val="18"/>
                <w:szCs w:val="18"/>
              </w:rPr>
              <w:t>Fax: +36 18828593</w:t>
            </w:r>
          </w:p>
        </w:tc>
      </w:tr>
    </w:tbl>
    <w:p w14:paraId="06E28344" w14:textId="77777777" w:rsidR="00810429" w:rsidRPr="005C2CBA" w:rsidRDefault="00810429" w:rsidP="00810429">
      <w:pPr>
        <w:autoSpaceDE w:val="0"/>
        <w:autoSpaceDN w:val="0"/>
        <w:adjustRightInd w:val="0"/>
        <w:spacing w:before="120" w:after="120"/>
        <w:rPr>
          <w:rFonts w:eastAsia="MS Mincho"/>
          <w:b/>
          <w:bCs/>
          <w:sz w:val="22"/>
          <w:szCs w:val="22"/>
        </w:rPr>
      </w:pPr>
      <w:r w:rsidRPr="005C2CBA">
        <w:rPr>
          <w:rFonts w:eastAsia="MS Mincho"/>
          <w:b/>
          <w:bCs/>
          <w:sz w:val="22"/>
          <w:szCs w:val="22"/>
        </w:rPr>
        <w:t xml:space="preserve">VI.5) E hirdetmény feladásának dátuma: </w:t>
      </w:r>
      <w:r w:rsidRPr="005C2CBA">
        <w:rPr>
          <w:rFonts w:eastAsia="MS Mincho"/>
          <w:i/>
          <w:iCs/>
          <w:sz w:val="18"/>
          <w:szCs w:val="18"/>
        </w:rPr>
        <w:t>(nn/hh/éééé)</w:t>
      </w:r>
    </w:p>
    <w:p w14:paraId="3AD28DC3" w14:textId="77777777" w:rsidR="00810429" w:rsidRPr="005C2CBA" w:rsidRDefault="00810429" w:rsidP="00810429">
      <w:pPr>
        <w:autoSpaceDE w:val="0"/>
        <w:autoSpaceDN w:val="0"/>
        <w:adjustRightInd w:val="0"/>
        <w:spacing w:before="120" w:after="120"/>
        <w:jc w:val="both"/>
        <w:rPr>
          <w:rFonts w:eastAsia="MS Mincho"/>
          <w:sz w:val="22"/>
          <w:szCs w:val="22"/>
        </w:rPr>
      </w:pPr>
    </w:p>
    <w:p w14:paraId="3A954550" w14:textId="77777777" w:rsidR="00810429" w:rsidRPr="005C2CBA" w:rsidRDefault="00810429" w:rsidP="00810429">
      <w:pPr>
        <w:autoSpaceDE w:val="0"/>
        <w:autoSpaceDN w:val="0"/>
        <w:adjustRightInd w:val="0"/>
        <w:spacing w:before="120" w:after="120"/>
        <w:jc w:val="center"/>
        <w:rPr>
          <w:rFonts w:eastAsia="MS Mincho"/>
          <w:sz w:val="18"/>
          <w:szCs w:val="18"/>
        </w:rPr>
      </w:pPr>
      <w:r w:rsidRPr="005C2CBA">
        <w:rPr>
          <w:rFonts w:ascii="Lucida Sans Unicode" w:eastAsia="MS Mincho" w:hAnsi="Lucida Sans Unicode" w:cs="Lucida Sans Unicode"/>
          <w:i/>
          <w:iCs/>
          <w:color w:val="000000"/>
          <w:spacing w:val="-10"/>
          <w:sz w:val="18"/>
          <w:szCs w:val="18"/>
        </w:rPr>
        <w:t>Az európai uniós és más alkalmazandó jog előírásainak történő megfelelés biztosítása az ajánlatkérő felelőssége.</w:t>
      </w:r>
    </w:p>
    <w:p w14:paraId="0B90CEE1" w14:textId="77777777" w:rsidR="00810429" w:rsidRPr="005C2CBA" w:rsidRDefault="00810429" w:rsidP="00810429">
      <w:pPr>
        <w:autoSpaceDE w:val="0"/>
        <w:autoSpaceDN w:val="0"/>
        <w:adjustRightInd w:val="0"/>
        <w:spacing w:before="120" w:after="120"/>
        <w:jc w:val="center"/>
        <w:rPr>
          <w:rFonts w:eastAsia="MS Mincho"/>
          <w:sz w:val="18"/>
          <w:szCs w:val="18"/>
        </w:rPr>
      </w:pPr>
      <w:r w:rsidRPr="005C2CBA">
        <w:rPr>
          <w:rFonts w:eastAsia="MS Mincho"/>
          <w:sz w:val="18"/>
          <w:szCs w:val="18"/>
        </w:rPr>
        <w:t>_________________________________________________________________________________________________________</w:t>
      </w:r>
    </w:p>
    <w:p w14:paraId="4D5D45C9" w14:textId="77777777" w:rsidR="00810429" w:rsidRPr="005C2CBA" w:rsidRDefault="00810429" w:rsidP="00810429">
      <w:pPr>
        <w:tabs>
          <w:tab w:val="left" w:pos="284"/>
        </w:tabs>
        <w:autoSpaceDE w:val="0"/>
        <w:autoSpaceDN w:val="0"/>
        <w:adjustRightInd w:val="0"/>
        <w:spacing w:before="120" w:after="120"/>
        <w:jc w:val="both"/>
        <w:rPr>
          <w:rFonts w:eastAsia="MS Mincho"/>
          <w:i/>
          <w:iCs/>
          <w:sz w:val="18"/>
          <w:szCs w:val="18"/>
        </w:rPr>
      </w:pPr>
      <w:r w:rsidRPr="005C2CBA">
        <w:rPr>
          <w:rFonts w:eastAsia="MS Mincho"/>
          <w:sz w:val="18"/>
          <w:szCs w:val="18"/>
          <w:vertAlign w:val="superscript"/>
        </w:rPr>
        <w:t>1</w:t>
      </w:r>
      <w:r w:rsidRPr="005C2CBA">
        <w:rPr>
          <w:rFonts w:eastAsia="MS Mincho"/>
          <w:sz w:val="18"/>
          <w:szCs w:val="18"/>
          <w:vertAlign w:val="superscript"/>
        </w:rPr>
        <w:tab/>
      </w:r>
      <w:r w:rsidRPr="005C2CBA">
        <w:rPr>
          <w:rFonts w:ascii="Lucida Sans Unicode" w:eastAsia="MS Mincho" w:hAnsi="Lucida Sans Unicode" w:cs="Lucida Sans Unicode"/>
          <w:i/>
          <w:iCs/>
          <w:color w:val="000000"/>
          <w:spacing w:val="-10"/>
          <w:sz w:val="18"/>
          <w:szCs w:val="18"/>
        </w:rPr>
        <w:t>szükség szerinti számban ismételje meg</w:t>
      </w:r>
    </w:p>
    <w:p w14:paraId="0E4B04C4" w14:textId="77777777" w:rsidR="00810429" w:rsidRPr="005C2CBA" w:rsidRDefault="00810429" w:rsidP="00810429">
      <w:pPr>
        <w:tabs>
          <w:tab w:val="left" w:pos="284"/>
        </w:tabs>
        <w:autoSpaceDE w:val="0"/>
        <w:autoSpaceDN w:val="0"/>
        <w:adjustRightInd w:val="0"/>
        <w:spacing w:before="120" w:after="120"/>
        <w:jc w:val="both"/>
        <w:rPr>
          <w:rFonts w:eastAsia="MS Mincho"/>
          <w:i/>
          <w:iCs/>
          <w:sz w:val="18"/>
          <w:szCs w:val="18"/>
        </w:rPr>
      </w:pPr>
      <w:r w:rsidRPr="005C2CBA">
        <w:rPr>
          <w:rFonts w:eastAsia="MS Mincho"/>
          <w:sz w:val="18"/>
          <w:szCs w:val="18"/>
          <w:vertAlign w:val="superscript"/>
        </w:rPr>
        <w:t>2</w:t>
      </w:r>
      <w:r w:rsidRPr="005C2CBA">
        <w:rPr>
          <w:rFonts w:eastAsia="MS Mincho"/>
          <w:sz w:val="18"/>
          <w:szCs w:val="18"/>
          <w:vertAlign w:val="superscript"/>
        </w:rPr>
        <w:tab/>
      </w:r>
      <w:r w:rsidRPr="005C2CBA">
        <w:rPr>
          <w:rFonts w:ascii="Lucida Sans Unicode" w:eastAsia="MS Mincho" w:hAnsi="Lucida Sans Unicode" w:cs="Lucida Sans Unicode"/>
          <w:i/>
          <w:iCs/>
          <w:color w:val="000000"/>
          <w:spacing w:val="-10"/>
          <w:sz w:val="18"/>
          <w:szCs w:val="18"/>
        </w:rPr>
        <w:t>adott esetben</w:t>
      </w:r>
    </w:p>
    <w:p w14:paraId="6F029763" w14:textId="77777777" w:rsidR="00810429" w:rsidRPr="005C2CBA" w:rsidRDefault="00810429" w:rsidP="00810429">
      <w:pPr>
        <w:tabs>
          <w:tab w:val="left" w:pos="284"/>
        </w:tabs>
        <w:autoSpaceDE w:val="0"/>
        <w:autoSpaceDN w:val="0"/>
        <w:adjustRightInd w:val="0"/>
        <w:spacing w:before="120" w:after="120"/>
        <w:jc w:val="both"/>
        <w:rPr>
          <w:rFonts w:eastAsia="MS Mincho"/>
          <w:sz w:val="18"/>
          <w:szCs w:val="18"/>
          <w:vertAlign w:val="superscript"/>
        </w:rPr>
      </w:pPr>
      <w:r w:rsidRPr="005C2CBA">
        <w:rPr>
          <w:rFonts w:eastAsia="MS Mincho"/>
          <w:sz w:val="18"/>
          <w:szCs w:val="18"/>
          <w:vertAlign w:val="superscript"/>
        </w:rPr>
        <w:t>4</w:t>
      </w:r>
      <w:r w:rsidRPr="005C2CBA">
        <w:rPr>
          <w:rFonts w:eastAsia="MS Mincho"/>
          <w:sz w:val="18"/>
          <w:szCs w:val="18"/>
          <w:vertAlign w:val="superscript"/>
        </w:rPr>
        <w:tab/>
      </w:r>
      <w:r w:rsidRPr="005C2CBA">
        <w:rPr>
          <w:rFonts w:ascii="Lucida Sans Unicode" w:eastAsia="MS Mincho" w:hAnsi="Lucida Sans Unicode" w:cs="Lucida Sans Unicode"/>
          <w:i/>
          <w:iCs/>
          <w:color w:val="000000"/>
          <w:spacing w:val="-10"/>
          <w:sz w:val="18"/>
          <w:szCs w:val="18"/>
        </w:rPr>
        <w:t>ha az információ ismert</w:t>
      </w:r>
    </w:p>
    <w:p w14:paraId="5176960B" w14:textId="77777777" w:rsidR="00810429" w:rsidRPr="005C2CBA" w:rsidRDefault="00810429" w:rsidP="00810429">
      <w:pPr>
        <w:tabs>
          <w:tab w:val="left" w:pos="284"/>
        </w:tabs>
        <w:autoSpaceDE w:val="0"/>
        <w:autoSpaceDN w:val="0"/>
        <w:adjustRightInd w:val="0"/>
        <w:spacing w:before="120" w:after="120"/>
        <w:jc w:val="both"/>
        <w:rPr>
          <w:rFonts w:eastAsia="MS Mincho"/>
          <w:sz w:val="18"/>
          <w:szCs w:val="18"/>
          <w:vertAlign w:val="superscript"/>
        </w:rPr>
      </w:pPr>
      <w:r w:rsidRPr="005C2CBA">
        <w:rPr>
          <w:rFonts w:eastAsia="MS Mincho"/>
          <w:sz w:val="18"/>
          <w:szCs w:val="18"/>
          <w:vertAlign w:val="superscript"/>
        </w:rPr>
        <w:t>20</w:t>
      </w:r>
      <w:r w:rsidRPr="005C2CBA">
        <w:rPr>
          <w:rFonts w:eastAsia="MS Mincho"/>
          <w:sz w:val="18"/>
          <w:szCs w:val="18"/>
          <w:vertAlign w:val="superscript"/>
        </w:rPr>
        <w:tab/>
      </w:r>
      <w:r w:rsidRPr="005C2CBA">
        <w:rPr>
          <w:rFonts w:ascii="Lucida Sans Unicode" w:eastAsia="MS Mincho" w:hAnsi="Lucida Sans Unicode" w:cs="Lucida Sans Unicode"/>
          <w:i/>
          <w:iCs/>
          <w:color w:val="000000"/>
          <w:spacing w:val="-10"/>
          <w:sz w:val="18"/>
          <w:szCs w:val="18"/>
        </w:rPr>
        <w:t>a súlyszám helyett a jelentőség is megadható</w:t>
      </w:r>
    </w:p>
    <w:p w14:paraId="4D66FF2F" w14:textId="77777777" w:rsidR="00810429" w:rsidRPr="00871970" w:rsidRDefault="00810429" w:rsidP="00810429">
      <w:pPr>
        <w:tabs>
          <w:tab w:val="left" w:pos="284"/>
        </w:tabs>
        <w:autoSpaceDE w:val="0"/>
        <w:autoSpaceDN w:val="0"/>
        <w:adjustRightInd w:val="0"/>
        <w:spacing w:before="120" w:after="120"/>
        <w:jc w:val="both"/>
        <w:rPr>
          <w:rFonts w:eastAsia="MS Mincho"/>
          <w:sz w:val="18"/>
          <w:szCs w:val="18"/>
          <w:vertAlign w:val="superscript"/>
        </w:rPr>
      </w:pPr>
      <w:r w:rsidRPr="005C2CBA">
        <w:rPr>
          <w:rFonts w:eastAsia="MS Mincho"/>
          <w:sz w:val="18"/>
          <w:szCs w:val="18"/>
          <w:vertAlign w:val="superscript"/>
        </w:rPr>
        <w:t>21</w:t>
      </w:r>
      <w:r w:rsidRPr="005C2CBA">
        <w:rPr>
          <w:rFonts w:eastAsia="MS Mincho"/>
          <w:sz w:val="18"/>
          <w:szCs w:val="18"/>
          <w:vertAlign w:val="superscript"/>
        </w:rPr>
        <w:tab/>
      </w:r>
      <w:r w:rsidRPr="005C2CBA">
        <w:rPr>
          <w:rFonts w:ascii="Lucida Sans Unicode" w:eastAsia="MS Mincho" w:hAnsi="Lucida Sans Unicode" w:cs="Lucida Sans Unicode"/>
          <w:i/>
          <w:iCs/>
          <w:color w:val="000000"/>
          <w:spacing w:val="-10"/>
          <w:sz w:val="18"/>
          <w:szCs w:val="18"/>
        </w:rPr>
        <w:t>a súlyszám helyett a jelentőség is megadható; ha az ár az egyetlen bírálati szempont, akkor a súlyszámot nem alkalmazzák</w:t>
      </w:r>
    </w:p>
    <w:p w14:paraId="03588A17" w14:textId="77777777" w:rsidR="00810429" w:rsidRPr="00871970" w:rsidRDefault="00810429" w:rsidP="00810429">
      <w:pPr>
        <w:autoSpaceDE w:val="0"/>
        <w:autoSpaceDN w:val="0"/>
        <w:adjustRightInd w:val="0"/>
        <w:spacing w:before="120" w:after="120"/>
        <w:jc w:val="both"/>
        <w:rPr>
          <w:rFonts w:eastAsia="MS Mincho"/>
          <w:b/>
          <w:bCs/>
          <w:sz w:val="18"/>
          <w:szCs w:val="18"/>
        </w:rPr>
      </w:pPr>
    </w:p>
    <w:p w14:paraId="76B649ED" w14:textId="77777777" w:rsidR="00810429" w:rsidRPr="00871970" w:rsidRDefault="00810429" w:rsidP="00810429">
      <w:pPr>
        <w:autoSpaceDE w:val="0"/>
        <w:autoSpaceDN w:val="0"/>
        <w:adjustRightInd w:val="0"/>
        <w:jc w:val="both"/>
        <w:rPr>
          <w:rFonts w:eastAsia="MS Mincho"/>
        </w:rPr>
      </w:pPr>
    </w:p>
    <w:p w14:paraId="4A3F046E" w14:textId="77777777" w:rsidR="00810429" w:rsidRPr="00871970" w:rsidRDefault="00810429" w:rsidP="00810429">
      <w:pPr>
        <w:autoSpaceDE w:val="0"/>
        <w:autoSpaceDN w:val="0"/>
        <w:adjustRightInd w:val="0"/>
        <w:jc w:val="both"/>
        <w:rPr>
          <w:rFonts w:eastAsia="MS Mincho"/>
        </w:rPr>
      </w:pPr>
    </w:p>
    <w:p w14:paraId="6E99C933" w14:textId="77777777" w:rsidR="00810429" w:rsidRPr="00871970" w:rsidRDefault="00810429" w:rsidP="00810429"/>
    <w:p w14:paraId="1CC8902E" w14:textId="77777777" w:rsidR="00810429" w:rsidRPr="00871970" w:rsidRDefault="00810429" w:rsidP="00810429"/>
    <w:p w14:paraId="555008DB" w14:textId="77777777" w:rsidR="00810429" w:rsidRPr="00871970" w:rsidRDefault="00810429"/>
    <w:sectPr w:rsidR="00810429" w:rsidRPr="00871970" w:rsidSect="00B1185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0CB"/>
    <w:multiLevelType w:val="hybridMultilevel"/>
    <w:tmpl w:val="7868AF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29"/>
    <w:rsid w:val="001E04A5"/>
    <w:rsid w:val="0022567C"/>
    <w:rsid w:val="002961EA"/>
    <w:rsid w:val="00400AB9"/>
    <w:rsid w:val="004952FE"/>
    <w:rsid w:val="004A647B"/>
    <w:rsid w:val="005C2CBA"/>
    <w:rsid w:val="00655745"/>
    <w:rsid w:val="006F740A"/>
    <w:rsid w:val="0073746B"/>
    <w:rsid w:val="007B5D34"/>
    <w:rsid w:val="007C07EA"/>
    <w:rsid w:val="00810429"/>
    <w:rsid w:val="00871970"/>
    <w:rsid w:val="00904EB8"/>
    <w:rsid w:val="00905DA7"/>
    <w:rsid w:val="0098608A"/>
    <w:rsid w:val="009F757B"/>
    <w:rsid w:val="00A90D99"/>
    <w:rsid w:val="00A922A5"/>
    <w:rsid w:val="00CD42D6"/>
    <w:rsid w:val="00D217B2"/>
    <w:rsid w:val="00E260E5"/>
    <w:rsid w:val="00E75F0A"/>
    <w:rsid w:val="00F643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810C"/>
  <w15:chartTrackingRefBased/>
  <w15:docId w15:val="{BBEC19DB-080D-43FD-A572-91A2682C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1042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871970"/>
    <w:rPr>
      <w:sz w:val="16"/>
      <w:szCs w:val="16"/>
    </w:rPr>
  </w:style>
  <w:style w:type="paragraph" w:styleId="Jegyzetszveg">
    <w:name w:val="annotation text"/>
    <w:basedOn w:val="Norml"/>
    <w:link w:val="JegyzetszvegChar"/>
    <w:uiPriority w:val="99"/>
    <w:semiHidden/>
    <w:unhideWhenUsed/>
    <w:rsid w:val="00871970"/>
    <w:rPr>
      <w:sz w:val="20"/>
      <w:szCs w:val="20"/>
    </w:rPr>
  </w:style>
  <w:style w:type="character" w:customStyle="1" w:styleId="JegyzetszvegChar">
    <w:name w:val="Jegyzetszöveg Char"/>
    <w:basedOn w:val="Bekezdsalapbettpusa"/>
    <w:link w:val="Jegyzetszveg"/>
    <w:uiPriority w:val="99"/>
    <w:semiHidden/>
    <w:rsid w:val="00871970"/>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71970"/>
    <w:rPr>
      <w:b/>
      <w:bCs/>
    </w:rPr>
  </w:style>
  <w:style w:type="character" w:customStyle="1" w:styleId="MegjegyzstrgyaChar">
    <w:name w:val="Megjegyzés tárgya Char"/>
    <w:basedOn w:val="JegyzetszvegChar"/>
    <w:link w:val="Megjegyzstrgya"/>
    <w:uiPriority w:val="99"/>
    <w:semiHidden/>
    <w:rsid w:val="00871970"/>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87197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71970"/>
    <w:rPr>
      <w:rFonts w:ascii="Segoe UI" w:eastAsia="Times New Roman" w:hAnsi="Segoe UI" w:cs="Segoe UI"/>
      <w:sz w:val="18"/>
      <w:szCs w:val="18"/>
      <w:lang w:eastAsia="hu-HU"/>
    </w:rPr>
  </w:style>
  <w:style w:type="paragraph" w:styleId="Listaszerbekezds">
    <w:name w:val="List Paragraph"/>
    <w:basedOn w:val="Norml"/>
    <w:uiPriority w:val="34"/>
    <w:qFormat/>
    <w:rsid w:val="004A647B"/>
    <w:pPr>
      <w:ind w:left="720"/>
      <w:contextualSpacing/>
    </w:pPr>
  </w:style>
  <w:style w:type="character" w:styleId="Hiperhivatkozs">
    <w:name w:val="Hyperlink"/>
    <w:basedOn w:val="Bekezdsalapbettpusa"/>
    <w:uiPriority w:val="99"/>
    <w:unhideWhenUsed/>
    <w:rsid w:val="004A6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hu/magunkrol/dontobizottsag/" TargetMode="External"/><Relationship Id="rId3" Type="http://schemas.openxmlformats.org/officeDocument/2006/relationships/settings" Target="settings.xml"/><Relationship Id="rId7" Type="http://schemas.openxmlformats.org/officeDocument/2006/relationships/hyperlink" Target="http://www.ekr.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ap.ted.europa.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beszerzes.hu/magunkrol/dontobizottsa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4177</Words>
  <Characters>28822</Characters>
  <Application>Microsoft Office Word</Application>
  <DocSecurity>0</DocSecurity>
  <Lines>240</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Sanyi</dc:creator>
  <cp:keywords/>
  <dc:description/>
  <cp:lastModifiedBy>Napholcz József</cp:lastModifiedBy>
  <cp:revision>3</cp:revision>
  <cp:lastPrinted>2018-11-16T08:16:00Z</cp:lastPrinted>
  <dcterms:created xsi:type="dcterms:W3CDTF">2018-11-19T10:24:00Z</dcterms:created>
  <dcterms:modified xsi:type="dcterms:W3CDTF">2018-11-19T11:35:00Z</dcterms:modified>
</cp:coreProperties>
</file>